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8B88" w14:textId="6C26D8CE" w:rsidR="00CF0CC2" w:rsidRPr="00203B80" w:rsidRDefault="00CF0CC2" w:rsidP="00755845">
      <w:pPr>
        <w:spacing w:line="360" w:lineRule="auto"/>
        <w:contextualSpacing/>
        <w:jc w:val="both"/>
        <w:rPr>
          <w:rFonts w:ascii="Times New Roman" w:hAnsi="Times New Roman" w:cs="Times New Roman"/>
          <w:b/>
          <w:sz w:val="24"/>
          <w:szCs w:val="24"/>
          <w:lang w:val="en-GB"/>
        </w:rPr>
      </w:pPr>
    </w:p>
    <w:p w14:paraId="0EB249E8" w14:textId="5888F3E4" w:rsidR="00CF0CC2" w:rsidRPr="00F31E0C" w:rsidRDefault="00CF0CC2" w:rsidP="00755845">
      <w:pPr>
        <w:spacing w:line="360" w:lineRule="auto"/>
        <w:contextualSpacing/>
        <w:jc w:val="both"/>
        <w:rPr>
          <w:i/>
          <w:sz w:val="24"/>
          <w:szCs w:val="24"/>
          <w:lang w:val="en-GB"/>
        </w:rPr>
      </w:pPr>
      <w:r w:rsidRPr="00F31E0C">
        <w:rPr>
          <w:noProof/>
          <w:sz w:val="24"/>
          <w:szCs w:val="24"/>
          <w:lang w:val="sk-SK" w:eastAsia="sk-SK"/>
        </w:rPr>
        <w:drawing>
          <wp:anchor distT="114300" distB="0" distL="114300" distR="114300" simplePos="0" relativeHeight="251659264" behindDoc="0" locked="0" layoutInCell="1" hidden="0" allowOverlap="1" wp14:anchorId="6838C12B" wp14:editId="64577C50">
            <wp:simplePos x="0" y="0"/>
            <wp:positionH relativeFrom="margin">
              <wp:align>right</wp:align>
            </wp:positionH>
            <wp:positionV relativeFrom="margin">
              <wp:align>top</wp:align>
            </wp:positionV>
            <wp:extent cx="5734050" cy="2848610"/>
            <wp:effectExtent l="0" t="0" r="0" b="8890"/>
            <wp:wrapSquare wrapText="bothSides" distT="114300" distB="0" distL="114300" distR="114300"/>
            <wp:docPr id="6" name="image3.png" descr="A close-up of several logos&#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png" descr="A close-up of several logos&#10;&#10;Description automatically generated"/>
                    <pic:cNvPicPr preferRelativeResize="0"/>
                  </pic:nvPicPr>
                  <pic:blipFill>
                    <a:blip r:embed="rId8"/>
                    <a:srcRect/>
                    <a:stretch>
                      <a:fillRect/>
                    </a:stretch>
                  </pic:blipFill>
                  <pic:spPr>
                    <a:xfrm>
                      <a:off x="0" y="0"/>
                      <a:ext cx="5734050" cy="2848610"/>
                    </a:xfrm>
                    <a:prstGeom prst="rect">
                      <a:avLst/>
                    </a:prstGeom>
                    <a:ln/>
                  </pic:spPr>
                </pic:pic>
              </a:graphicData>
            </a:graphic>
          </wp:anchor>
        </w:drawing>
      </w:r>
    </w:p>
    <w:p w14:paraId="2281C894" w14:textId="781769AD" w:rsidR="00F01203" w:rsidRPr="00941BEF" w:rsidRDefault="00CF0CC2" w:rsidP="00755845">
      <w:pPr>
        <w:pStyle w:val="Podtitul"/>
        <w:spacing w:line="360" w:lineRule="auto"/>
        <w:contextualSpacing/>
        <w:jc w:val="both"/>
        <w:rPr>
          <w:rFonts w:ascii="Source Sans Pro" w:eastAsia="Source Sans Pro" w:hAnsi="Source Sans Pro" w:cs="Source Sans Pro"/>
          <w:b/>
          <w:color w:val="auto"/>
          <w:sz w:val="32"/>
          <w:szCs w:val="32"/>
        </w:rPr>
      </w:pPr>
      <w:bookmarkStart w:id="0" w:name="_heading=h.gjdgxs" w:colFirst="0" w:colLast="0"/>
      <w:bookmarkEnd w:id="0"/>
      <w:r w:rsidRPr="00941BEF">
        <w:rPr>
          <w:rFonts w:ascii="Source Sans Pro" w:eastAsia="Source Sans Pro" w:hAnsi="Source Sans Pro" w:cs="Source Sans Pro"/>
          <w:b/>
          <w:color w:val="auto"/>
          <w:sz w:val="32"/>
          <w:szCs w:val="32"/>
        </w:rPr>
        <w:t xml:space="preserve">The interplay of statutory minimum wages and collective </w:t>
      </w:r>
      <w:proofErr w:type="gramStart"/>
      <w:r w:rsidRPr="00941BEF">
        <w:rPr>
          <w:rFonts w:ascii="Source Sans Pro" w:eastAsia="Source Sans Pro" w:hAnsi="Source Sans Pro" w:cs="Source Sans Pro"/>
          <w:b/>
          <w:color w:val="auto"/>
          <w:sz w:val="32"/>
          <w:szCs w:val="32"/>
        </w:rPr>
        <w:t>wage</w:t>
      </w:r>
      <w:proofErr w:type="gramEnd"/>
      <w:r w:rsidRPr="00941BEF">
        <w:rPr>
          <w:rFonts w:ascii="Source Sans Pro" w:eastAsia="Source Sans Pro" w:hAnsi="Source Sans Pro" w:cs="Source Sans Pro"/>
          <w:b/>
          <w:color w:val="auto"/>
          <w:sz w:val="32"/>
          <w:szCs w:val="32"/>
        </w:rPr>
        <w:t xml:space="preserve"> bargaining across European sectors</w:t>
      </w:r>
      <w:r w:rsidR="00F01203" w:rsidRPr="00941BEF">
        <w:rPr>
          <w:rFonts w:ascii="Source Sans Pro" w:eastAsia="Source Sans Pro" w:hAnsi="Source Sans Pro" w:cs="Source Sans Pro"/>
          <w:b/>
          <w:color w:val="auto"/>
          <w:sz w:val="32"/>
          <w:szCs w:val="32"/>
        </w:rPr>
        <w:t>: A Study on Bulgaria</w:t>
      </w:r>
    </w:p>
    <w:p w14:paraId="412FD619" w14:textId="5B37BE7F" w:rsidR="00CF0CC2" w:rsidRPr="00F31E0C" w:rsidRDefault="00CF0CC2" w:rsidP="00755845">
      <w:pPr>
        <w:pStyle w:val="Podtitul"/>
        <w:spacing w:line="360" w:lineRule="auto"/>
        <w:contextualSpacing/>
        <w:jc w:val="both"/>
        <w:rPr>
          <w:rFonts w:ascii="Source Sans Pro" w:eastAsia="Source Sans Pro" w:hAnsi="Source Sans Pro" w:cs="Source Sans Pro"/>
          <w:sz w:val="24"/>
          <w:szCs w:val="24"/>
        </w:rPr>
      </w:pPr>
      <w:bookmarkStart w:id="1" w:name="_heading=h.9hcseh9npu4j" w:colFirst="0" w:colLast="0"/>
      <w:bookmarkEnd w:id="1"/>
      <w:r w:rsidRPr="00F31E0C">
        <w:rPr>
          <w:rFonts w:ascii="Source Sans Pro" w:eastAsia="Source Sans Pro" w:hAnsi="Source Sans Pro" w:cs="Source Sans Pro"/>
          <w:sz w:val="24"/>
          <w:szCs w:val="24"/>
        </w:rPr>
        <w:t xml:space="preserve">BARWAGE Report No. </w:t>
      </w:r>
      <w:r w:rsidR="00F01203">
        <w:rPr>
          <w:rFonts w:ascii="Source Sans Pro" w:eastAsia="Source Sans Pro" w:hAnsi="Source Sans Pro" w:cs="Source Sans Pro"/>
          <w:sz w:val="24"/>
          <w:szCs w:val="24"/>
        </w:rPr>
        <w:t>4</w:t>
      </w:r>
    </w:p>
    <w:p w14:paraId="63356156" w14:textId="77777777" w:rsidR="00CF0CC2" w:rsidRPr="00F31E0C" w:rsidRDefault="00CF0CC2" w:rsidP="00755845">
      <w:pPr>
        <w:pStyle w:val="Podtitul"/>
        <w:spacing w:line="360" w:lineRule="auto"/>
        <w:contextualSpacing/>
        <w:jc w:val="both"/>
        <w:rPr>
          <w:rFonts w:ascii="Source Sans Pro" w:eastAsia="Source Sans Pro" w:hAnsi="Source Sans Pro" w:cs="Source Sans Pro"/>
          <w:sz w:val="24"/>
          <w:szCs w:val="24"/>
        </w:rPr>
      </w:pPr>
    </w:p>
    <w:p w14:paraId="11E3FB6F" w14:textId="285A825E" w:rsidR="00CF0CC2" w:rsidRPr="00F31E0C" w:rsidRDefault="00421799" w:rsidP="00755845">
      <w:pPr>
        <w:pStyle w:val="Podtitul"/>
        <w:spacing w:line="360" w:lineRule="auto"/>
        <w:contextualSpacing/>
        <w:jc w:val="both"/>
        <w:rPr>
          <w:rFonts w:ascii="Source Sans Pro" w:eastAsia="Source Sans Pro" w:hAnsi="Source Sans Pro" w:cs="Source Sans Pro"/>
          <w:sz w:val="24"/>
          <w:szCs w:val="24"/>
        </w:rPr>
      </w:pPr>
      <w:r w:rsidRPr="00F31E0C">
        <w:rPr>
          <w:rFonts w:ascii="Source Sans Pro" w:eastAsia="Source Sans Pro" w:hAnsi="Source Sans Pro" w:cs="Source Sans Pro"/>
          <w:sz w:val="24"/>
          <w:szCs w:val="24"/>
        </w:rPr>
        <w:t xml:space="preserve">Kristína Gotthardová </w:t>
      </w:r>
      <w:r w:rsidR="000D75F1" w:rsidRPr="00F31E0C">
        <w:rPr>
          <w:rFonts w:ascii="Source Sans Pro" w:eastAsia="Source Sans Pro" w:hAnsi="Source Sans Pro" w:cs="Source Sans Pro"/>
          <w:sz w:val="24"/>
          <w:szCs w:val="24"/>
        </w:rPr>
        <w:t xml:space="preserve">and </w:t>
      </w:r>
      <w:r w:rsidRPr="00F31E0C">
        <w:rPr>
          <w:rFonts w:ascii="Source Sans Pro" w:eastAsia="Source Sans Pro" w:hAnsi="Source Sans Pro" w:cs="Source Sans Pro"/>
          <w:sz w:val="24"/>
          <w:szCs w:val="24"/>
        </w:rPr>
        <w:t>Marta Kahancová</w:t>
      </w:r>
      <w:r w:rsidR="00941BEF">
        <w:rPr>
          <w:rStyle w:val="Odkaznapoznmkupodiarou"/>
          <w:rFonts w:ascii="Source Sans Pro" w:eastAsia="Source Sans Pro" w:hAnsi="Source Sans Pro" w:cs="Source Sans Pro"/>
          <w:sz w:val="24"/>
          <w:szCs w:val="24"/>
        </w:rPr>
        <w:footnoteReference w:id="1"/>
      </w:r>
    </w:p>
    <w:p w14:paraId="723186F8" w14:textId="54C09872" w:rsidR="00CF0CC2" w:rsidRPr="00F31E0C" w:rsidRDefault="00421799" w:rsidP="00755845">
      <w:pPr>
        <w:pStyle w:val="Podtitul"/>
        <w:spacing w:line="360" w:lineRule="auto"/>
        <w:contextualSpacing/>
        <w:jc w:val="both"/>
        <w:rPr>
          <w:rFonts w:ascii="Source Sans Pro" w:eastAsia="Source Sans Pro" w:hAnsi="Source Sans Pro" w:cs="Source Sans Pro"/>
          <w:sz w:val="24"/>
          <w:szCs w:val="24"/>
        </w:rPr>
      </w:pPr>
      <w:r w:rsidRPr="00F31E0C">
        <w:rPr>
          <w:rFonts w:ascii="Source Sans Pro" w:eastAsia="Source Sans Pro" w:hAnsi="Source Sans Pro" w:cs="Source Sans Pro"/>
          <w:sz w:val="24"/>
          <w:szCs w:val="24"/>
        </w:rPr>
        <w:t>Ju</w:t>
      </w:r>
      <w:r w:rsidR="00101FD5">
        <w:rPr>
          <w:rFonts w:ascii="Source Sans Pro" w:eastAsia="Source Sans Pro" w:hAnsi="Source Sans Pro" w:cs="Source Sans Pro"/>
          <w:sz w:val="24"/>
          <w:szCs w:val="24"/>
        </w:rPr>
        <w:t>ly</w:t>
      </w:r>
      <w:r w:rsidRPr="00F31E0C">
        <w:rPr>
          <w:rFonts w:ascii="Source Sans Pro" w:eastAsia="Source Sans Pro" w:hAnsi="Source Sans Pro" w:cs="Source Sans Pro"/>
          <w:sz w:val="24"/>
          <w:szCs w:val="24"/>
        </w:rPr>
        <w:t xml:space="preserve"> 2024</w:t>
      </w:r>
    </w:p>
    <w:p w14:paraId="2FBE8418" w14:textId="77777777" w:rsidR="00101FD5" w:rsidRDefault="00101FD5" w:rsidP="00755845">
      <w:pPr>
        <w:pStyle w:val="Nadpis1"/>
        <w:spacing w:line="360" w:lineRule="auto"/>
        <w:contextualSpacing/>
        <w:jc w:val="both"/>
        <w:rPr>
          <w:sz w:val="24"/>
          <w:szCs w:val="24"/>
          <w:lang w:val="en-GB"/>
        </w:rPr>
      </w:pPr>
      <w:bookmarkStart w:id="2" w:name="_heading=h.7z4vftckzhun" w:colFirst="0" w:colLast="0"/>
      <w:bookmarkStart w:id="3" w:name="_Toc131494357"/>
      <w:bookmarkStart w:id="4" w:name="_Toc169685400"/>
      <w:bookmarkEnd w:id="2"/>
    </w:p>
    <w:p w14:paraId="21AE29BD" w14:textId="38875EAE" w:rsidR="00CF0CC2" w:rsidRPr="00941BEF" w:rsidRDefault="00101FD5" w:rsidP="00755845">
      <w:pPr>
        <w:contextualSpacing/>
        <w:jc w:val="both"/>
        <w:rPr>
          <w:sz w:val="20"/>
          <w:szCs w:val="20"/>
          <w:lang w:val="en-GB"/>
        </w:rPr>
      </w:pPr>
      <w:r w:rsidRPr="00941BEF">
        <w:rPr>
          <w:noProof/>
          <w:lang w:val="sk-SK" w:eastAsia="sk-SK"/>
        </w:rPr>
        <w:drawing>
          <wp:anchor distT="114300" distB="114300" distL="114300" distR="114300" simplePos="0" relativeHeight="251660288" behindDoc="0" locked="0" layoutInCell="1" hidden="0" allowOverlap="1" wp14:anchorId="0B490645" wp14:editId="32C61A34">
            <wp:simplePos x="0" y="0"/>
            <wp:positionH relativeFrom="column">
              <wp:posOffset>-4445</wp:posOffset>
            </wp:positionH>
            <wp:positionV relativeFrom="paragraph">
              <wp:posOffset>28575</wp:posOffset>
            </wp:positionV>
            <wp:extent cx="971550" cy="676275"/>
            <wp:effectExtent l="0" t="0" r="6350" b="0"/>
            <wp:wrapSquare wrapText="bothSides" distT="114300" distB="114300" distL="114300" distR="114300"/>
            <wp:docPr id="5" name="image1.jpg" descr="A flag with yellow stars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A flag with yellow stars in a circle&#10;&#10;Description automatically generated"/>
                    <pic:cNvPicPr preferRelativeResize="0"/>
                  </pic:nvPicPr>
                  <pic:blipFill>
                    <a:blip r:embed="rId9"/>
                    <a:srcRect/>
                    <a:stretch>
                      <a:fillRect/>
                    </a:stretch>
                  </pic:blipFill>
                  <pic:spPr>
                    <a:xfrm>
                      <a:off x="0" y="0"/>
                      <a:ext cx="971550" cy="676275"/>
                    </a:xfrm>
                    <a:prstGeom prst="rect">
                      <a:avLst/>
                    </a:prstGeom>
                    <a:ln/>
                  </pic:spPr>
                </pic:pic>
              </a:graphicData>
            </a:graphic>
            <wp14:sizeRelH relativeFrom="margin">
              <wp14:pctWidth>0</wp14:pctWidth>
            </wp14:sizeRelH>
            <wp14:sizeRelV relativeFrom="margin">
              <wp14:pctHeight>0</wp14:pctHeight>
            </wp14:sizeRelV>
          </wp:anchor>
        </w:drawing>
      </w:r>
      <w:bookmarkEnd w:id="3"/>
      <w:bookmarkEnd w:id="4"/>
      <w:r w:rsidR="00CF0CC2" w:rsidRPr="00941BEF">
        <w:rPr>
          <w:sz w:val="20"/>
          <w:szCs w:val="20"/>
          <w:lang w:val="en-GB"/>
        </w:rPr>
        <w:t xml:space="preserve">BARWAGE is a project </w:t>
      </w:r>
      <w:r w:rsidRPr="00941BEF">
        <w:rPr>
          <w:sz w:val="20"/>
          <w:szCs w:val="20"/>
          <w:lang w:val="en-GB"/>
        </w:rPr>
        <w:t>funded by the European Union</w:t>
      </w:r>
      <w:r w:rsidR="00CF0CC2" w:rsidRPr="00941BEF">
        <w:rPr>
          <w:sz w:val="20"/>
          <w:szCs w:val="20"/>
          <w:lang w:val="en-GB"/>
        </w:rPr>
        <w:t xml:space="preserve"> (SOCPL-2021-IND-REL</w:t>
      </w:r>
      <w:r w:rsidRPr="00941BEF">
        <w:rPr>
          <w:sz w:val="20"/>
          <w:szCs w:val="20"/>
          <w:lang w:val="en-GB"/>
        </w:rPr>
        <w:t xml:space="preserve">, </w:t>
      </w:r>
      <w:r w:rsidR="00CF0CC2" w:rsidRPr="00941BEF">
        <w:rPr>
          <w:sz w:val="20"/>
          <w:szCs w:val="20"/>
          <w:lang w:val="en-GB"/>
        </w:rPr>
        <w:t>ID 101052319)</w:t>
      </w:r>
    </w:p>
    <w:p w14:paraId="3183F16E" w14:textId="664B9740" w:rsidR="00CF0CC2" w:rsidRPr="00941BEF" w:rsidRDefault="00101FD5" w:rsidP="00755845">
      <w:pPr>
        <w:spacing w:line="360" w:lineRule="auto"/>
        <w:contextualSpacing/>
        <w:jc w:val="both"/>
        <w:rPr>
          <w:sz w:val="20"/>
          <w:szCs w:val="20"/>
          <w:lang w:val="en-GB"/>
        </w:rPr>
      </w:pPr>
      <w:bookmarkStart w:id="5" w:name="_heading=h.4d34og8" w:colFirst="0" w:colLast="0"/>
      <w:bookmarkEnd w:id="5"/>
      <w:r w:rsidRPr="00941BEF">
        <w:rPr>
          <w:sz w:val="20"/>
          <w:szCs w:val="20"/>
          <w:lang w:val="en-GB"/>
        </w:rPr>
        <w:t>©</w:t>
      </w:r>
      <w:r w:rsidR="00CF0CC2" w:rsidRPr="00941BEF">
        <w:rPr>
          <w:sz w:val="20"/>
          <w:szCs w:val="20"/>
          <w:lang w:val="en-GB"/>
        </w:rPr>
        <w:t xml:space="preserve"> 2023 Utrecht University, Central European Labour Studies Institute (CELSI), Fondazione Giuseppe di Vittorio, </w:t>
      </w:r>
      <w:proofErr w:type="spellStart"/>
      <w:r w:rsidR="00CF0CC2" w:rsidRPr="00941BEF">
        <w:rPr>
          <w:sz w:val="20"/>
          <w:szCs w:val="20"/>
          <w:lang w:val="en-GB"/>
        </w:rPr>
        <w:t>WageIndicator</w:t>
      </w:r>
      <w:proofErr w:type="spellEnd"/>
      <w:r w:rsidR="00CF0CC2" w:rsidRPr="00941BEF">
        <w:rPr>
          <w:sz w:val="20"/>
          <w:szCs w:val="20"/>
          <w:lang w:val="en-GB"/>
        </w:rPr>
        <w:t xml:space="preserve"> Foundation. All rights reserved.</w:t>
      </w:r>
    </w:p>
    <w:p w14:paraId="580A50D9" w14:textId="77777777" w:rsidR="00454111" w:rsidRPr="00941BEF" w:rsidRDefault="00454111" w:rsidP="00755845">
      <w:pPr>
        <w:spacing w:line="360" w:lineRule="auto"/>
        <w:contextualSpacing/>
        <w:jc w:val="both"/>
        <w:rPr>
          <w:rFonts w:ascii="Cambria" w:eastAsia="Cambria" w:hAnsi="Cambria" w:cs="Cambria"/>
          <w:b/>
          <w:color w:val="365F91"/>
          <w:sz w:val="20"/>
          <w:szCs w:val="20"/>
          <w:lang w:val="en-GB"/>
        </w:rPr>
      </w:pPr>
    </w:p>
    <w:p w14:paraId="4FBD9036" w14:textId="77777777" w:rsidR="00941BEF" w:rsidRDefault="00941BEF" w:rsidP="00755845">
      <w:pPr>
        <w:spacing w:line="360" w:lineRule="auto"/>
        <w:contextualSpacing/>
        <w:jc w:val="both"/>
        <w:rPr>
          <w:sz w:val="20"/>
          <w:szCs w:val="20"/>
          <w:lang w:val="en-GB"/>
        </w:rPr>
      </w:pPr>
    </w:p>
    <w:p w14:paraId="2DD1E486" w14:textId="460B6E92" w:rsidR="00CF0CC2" w:rsidRPr="00941BEF" w:rsidRDefault="00CF0CC2" w:rsidP="00755845">
      <w:pPr>
        <w:spacing w:line="360" w:lineRule="auto"/>
        <w:contextualSpacing/>
        <w:jc w:val="both"/>
        <w:rPr>
          <w:sz w:val="24"/>
          <w:szCs w:val="24"/>
          <w:lang w:val="en-GB"/>
        </w:rPr>
      </w:pPr>
      <w:r w:rsidRPr="00941BEF">
        <w:rPr>
          <w:sz w:val="24"/>
          <w:szCs w:val="24"/>
          <w:lang w:val="en-GB"/>
        </w:rPr>
        <w:t xml:space="preserve">Please cite as: </w:t>
      </w:r>
      <w:r w:rsidR="00421799" w:rsidRPr="00941BEF">
        <w:rPr>
          <w:sz w:val="24"/>
          <w:szCs w:val="24"/>
          <w:lang w:val="en-GB"/>
        </w:rPr>
        <w:t xml:space="preserve">Gotthardová, K., </w:t>
      </w:r>
      <w:r w:rsidR="00932A22" w:rsidRPr="00941BEF">
        <w:rPr>
          <w:sz w:val="24"/>
          <w:szCs w:val="24"/>
          <w:lang w:val="en-GB"/>
        </w:rPr>
        <w:t xml:space="preserve">&amp; Kahancová, </w:t>
      </w:r>
      <w:r w:rsidR="00421799" w:rsidRPr="00941BEF">
        <w:rPr>
          <w:sz w:val="24"/>
          <w:szCs w:val="24"/>
          <w:lang w:val="en-GB"/>
        </w:rPr>
        <w:t xml:space="preserve">M. </w:t>
      </w:r>
      <w:r w:rsidRPr="00941BEF">
        <w:rPr>
          <w:sz w:val="24"/>
          <w:szCs w:val="24"/>
          <w:lang w:val="en-GB"/>
        </w:rPr>
        <w:t>(</w:t>
      </w:r>
      <w:r w:rsidR="00932A22" w:rsidRPr="00941BEF">
        <w:rPr>
          <w:sz w:val="24"/>
          <w:szCs w:val="24"/>
          <w:lang w:val="en-GB"/>
        </w:rPr>
        <w:t>2024</w:t>
      </w:r>
      <w:r w:rsidRPr="00941BEF">
        <w:rPr>
          <w:sz w:val="24"/>
          <w:szCs w:val="24"/>
          <w:lang w:val="en-GB"/>
        </w:rPr>
        <w:t>)</w:t>
      </w:r>
      <w:r w:rsidR="002F720A">
        <w:rPr>
          <w:sz w:val="24"/>
          <w:szCs w:val="24"/>
          <w:lang w:val="en-GB"/>
        </w:rPr>
        <w:t>.</w:t>
      </w:r>
      <w:r w:rsidRPr="00941BEF">
        <w:rPr>
          <w:sz w:val="24"/>
          <w:szCs w:val="24"/>
          <w:lang w:val="en-GB"/>
        </w:rPr>
        <w:t xml:space="preserve"> </w:t>
      </w:r>
      <w:r w:rsidR="00932A22" w:rsidRPr="001649CE">
        <w:rPr>
          <w:sz w:val="24"/>
          <w:szCs w:val="24"/>
          <w:lang w:val="en-GB"/>
        </w:rPr>
        <w:t>The interplay of statutory minimum wages and collective wage bargaining across European sectors</w:t>
      </w:r>
      <w:r w:rsidR="00F01203" w:rsidRPr="001649CE">
        <w:rPr>
          <w:sz w:val="24"/>
          <w:szCs w:val="24"/>
          <w:lang w:val="en-GB"/>
        </w:rPr>
        <w:t xml:space="preserve">: </w:t>
      </w:r>
      <w:r w:rsidR="00941BEF" w:rsidRPr="001649CE">
        <w:rPr>
          <w:sz w:val="24"/>
          <w:szCs w:val="24"/>
          <w:lang w:val="en-GB"/>
        </w:rPr>
        <w:t xml:space="preserve">A study on </w:t>
      </w:r>
      <w:r w:rsidR="00F01203" w:rsidRPr="001649CE">
        <w:rPr>
          <w:sz w:val="24"/>
          <w:szCs w:val="24"/>
          <w:lang w:val="en-GB"/>
        </w:rPr>
        <w:t>Bulgaria</w:t>
      </w:r>
      <w:r w:rsidRPr="001649CE">
        <w:rPr>
          <w:sz w:val="24"/>
          <w:szCs w:val="24"/>
          <w:lang w:val="en-GB"/>
        </w:rPr>
        <w:t>.</w:t>
      </w:r>
      <w:r w:rsidRPr="00941BEF">
        <w:rPr>
          <w:sz w:val="24"/>
          <w:szCs w:val="24"/>
          <w:lang w:val="en-GB"/>
        </w:rPr>
        <w:t xml:space="preserve"> </w:t>
      </w:r>
      <w:r w:rsidRPr="00941BEF">
        <w:rPr>
          <w:i/>
          <w:iCs/>
          <w:sz w:val="24"/>
          <w:szCs w:val="24"/>
          <w:lang w:val="en-GB"/>
        </w:rPr>
        <w:t xml:space="preserve">BARWAGE Project </w:t>
      </w:r>
      <w:r w:rsidR="00F01203" w:rsidRPr="00941BEF">
        <w:rPr>
          <w:i/>
          <w:iCs/>
          <w:sz w:val="24"/>
          <w:szCs w:val="24"/>
          <w:lang w:val="en-GB"/>
        </w:rPr>
        <w:t>R</w:t>
      </w:r>
      <w:r w:rsidRPr="00941BEF">
        <w:rPr>
          <w:i/>
          <w:iCs/>
          <w:sz w:val="24"/>
          <w:szCs w:val="24"/>
          <w:lang w:val="en-GB"/>
        </w:rPr>
        <w:t xml:space="preserve">eport </w:t>
      </w:r>
      <w:r w:rsidR="00F01203" w:rsidRPr="00941BEF">
        <w:rPr>
          <w:i/>
          <w:iCs/>
          <w:sz w:val="24"/>
          <w:szCs w:val="24"/>
          <w:lang w:val="en-GB"/>
        </w:rPr>
        <w:t>4</w:t>
      </w:r>
      <w:r w:rsidRPr="00941BEF">
        <w:rPr>
          <w:sz w:val="24"/>
          <w:szCs w:val="24"/>
          <w:lang w:val="en-GB"/>
        </w:rPr>
        <w:t xml:space="preserve">. Amsterdam: </w:t>
      </w:r>
      <w:proofErr w:type="spellStart"/>
      <w:r w:rsidRPr="00941BEF">
        <w:rPr>
          <w:sz w:val="24"/>
          <w:szCs w:val="24"/>
          <w:lang w:val="en-GB"/>
        </w:rPr>
        <w:t>WageIndicator</w:t>
      </w:r>
      <w:proofErr w:type="spellEnd"/>
      <w:r w:rsidRPr="00941BEF">
        <w:rPr>
          <w:sz w:val="24"/>
          <w:szCs w:val="24"/>
          <w:lang w:val="en-GB"/>
        </w:rPr>
        <w:t xml:space="preserve"> Foundation. </w:t>
      </w:r>
      <w:r w:rsidR="00F01203" w:rsidRPr="00941BEF">
        <w:rPr>
          <w:sz w:val="24"/>
          <w:szCs w:val="24"/>
          <w:lang w:val="en-GB"/>
        </w:rPr>
        <w:t>DOI 10.5281/zenodo.13239256.</w:t>
      </w:r>
    </w:p>
    <w:p w14:paraId="091FE4C5" w14:textId="77777777" w:rsidR="00941BEF" w:rsidRPr="00941BEF" w:rsidRDefault="00941BEF" w:rsidP="00755845">
      <w:pPr>
        <w:pStyle w:val="Podtitul"/>
        <w:spacing w:line="360" w:lineRule="auto"/>
        <w:contextualSpacing/>
        <w:jc w:val="both"/>
        <w:rPr>
          <w:rFonts w:ascii="Source Sans Pro" w:eastAsia="Source Sans Pro" w:hAnsi="Source Sans Pro" w:cs="Source Sans Pro"/>
          <w:b/>
          <w:color w:val="auto"/>
          <w:sz w:val="32"/>
          <w:szCs w:val="32"/>
        </w:rPr>
      </w:pPr>
      <w:r w:rsidRPr="00941BEF">
        <w:rPr>
          <w:rFonts w:ascii="Source Sans Pro" w:eastAsia="Source Sans Pro" w:hAnsi="Source Sans Pro" w:cs="Source Sans Pro"/>
          <w:b/>
          <w:color w:val="auto"/>
          <w:sz w:val="32"/>
          <w:szCs w:val="32"/>
        </w:rPr>
        <w:lastRenderedPageBreak/>
        <w:t>The interplay of statutory minimum wages and collective wage bargaining across European sectors: A Study on Bulgaria</w:t>
      </w:r>
    </w:p>
    <w:p w14:paraId="1670B581" w14:textId="77777777" w:rsidR="00CF0CC2" w:rsidRPr="00F31E0C" w:rsidRDefault="00CF0CC2" w:rsidP="00755845">
      <w:pPr>
        <w:spacing w:after="0" w:line="360" w:lineRule="auto"/>
        <w:contextualSpacing/>
        <w:jc w:val="both"/>
        <w:rPr>
          <w:rFonts w:asciiTheme="majorHAnsi" w:hAnsiTheme="majorHAnsi" w:cstheme="majorHAnsi"/>
          <w:b/>
          <w:bCs/>
          <w:sz w:val="24"/>
          <w:szCs w:val="24"/>
          <w:lang w:val="en-GB"/>
        </w:rPr>
      </w:pPr>
    </w:p>
    <w:p w14:paraId="7CEFCB49" w14:textId="77777777" w:rsidR="00CF0CC2" w:rsidRPr="00F31E0C" w:rsidRDefault="00CF0CC2" w:rsidP="00755845">
      <w:pPr>
        <w:spacing w:after="0" w:line="360" w:lineRule="auto"/>
        <w:contextualSpacing/>
        <w:jc w:val="both"/>
        <w:rPr>
          <w:rFonts w:asciiTheme="majorHAnsi" w:hAnsiTheme="majorHAnsi" w:cstheme="majorHAnsi"/>
          <w:b/>
          <w:bCs/>
          <w:sz w:val="24"/>
          <w:szCs w:val="24"/>
          <w:lang w:val="en-GB"/>
        </w:rPr>
      </w:pPr>
      <w:r w:rsidRPr="00F31E0C">
        <w:rPr>
          <w:rFonts w:asciiTheme="majorHAnsi" w:hAnsiTheme="majorHAnsi" w:cstheme="majorHAnsi"/>
          <w:b/>
          <w:bCs/>
          <w:sz w:val="24"/>
          <w:szCs w:val="24"/>
          <w:lang w:val="en-GB"/>
        </w:rPr>
        <w:t>Abstract</w:t>
      </w:r>
    </w:p>
    <w:p w14:paraId="16569CEB" w14:textId="4FB1E361" w:rsidR="00CF0CC2" w:rsidRPr="00F31E0C" w:rsidRDefault="002447A1" w:rsidP="00755845">
      <w:pPr>
        <w:spacing w:line="360" w:lineRule="auto"/>
        <w:contextualSpacing/>
        <w:jc w:val="both"/>
        <w:rPr>
          <w:rFonts w:cstheme="minorHAnsi"/>
          <w:sz w:val="24"/>
          <w:szCs w:val="24"/>
          <w:lang w:val="en-GB"/>
        </w:rPr>
      </w:pPr>
      <w:r w:rsidRPr="00F31E0C">
        <w:rPr>
          <w:rFonts w:cstheme="minorHAnsi"/>
          <w:sz w:val="24"/>
          <w:szCs w:val="24"/>
          <w:lang w:val="en-GB"/>
        </w:rPr>
        <w:t>This report identifies and analyses the wage setting practices in Bulgaria, focusing on four specific sectors – construction</w:t>
      </w:r>
      <w:r w:rsidR="00454111" w:rsidRPr="00F31E0C">
        <w:rPr>
          <w:rFonts w:cstheme="minorHAnsi"/>
          <w:sz w:val="24"/>
          <w:szCs w:val="24"/>
          <w:lang w:val="en-GB"/>
        </w:rPr>
        <w:t>,</w:t>
      </w:r>
      <w:r w:rsidRPr="00F31E0C">
        <w:rPr>
          <w:rFonts w:cstheme="minorHAnsi"/>
          <w:sz w:val="24"/>
          <w:szCs w:val="24"/>
          <w:lang w:val="en-GB"/>
        </w:rPr>
        <w:t xml:space="preserve"> hospitality, urban transport</w:t>
      </w:r>
      <w:r w:rsidR="00B232E5" w:rsidRPr="00F31E0C">
        <w:rPr>
          <w:rFonts w:cstheme="minorHAnsi"/>
          <w:sz w:val="24"/>
          <w:szCs w:val="24"/>
          <w:lang w:val="en-GB"/>
        </w:rPr>
        <w:t>,</w:t>
      </w:r>
      <w:r w:rsidRPr="00F31E0C">
        <w:rPr>
          <w:rFonts w:cstheme="minorHAnsi"/>
          <w:sz w:val="24"/>
          <w:szCs w:val="24"/>
          <w:lang w:val="en-GB"/>
        </w:rPr>
        <w:t xml:space="preserve"> and waste management. </w:t>
      </w:r>
      <w:r w:rsidR="00941BEF">
        <w:rPr>
          <w:rFonts w:cstheme="minorHAnsi"/>
          <w:sz w:val="24"/>
          <w:szCs w:val="24"/>
          <w:lang w:val="en-GB"/>
        </w:rPr>
        <w:t>G</w:t>
      </w:r>
      <w:r w:rsidRPr="00F31E0C">
        <w:rPr>
          <w:rFonts w:cstheme="minorHAnsi"/>
          <w:sz w:val="24"/>
          <w:szCs w:val="24"/>
          <w:lang w:val="en-GB"/>
        </w:rPr>
        <w:t xml:space="preserve">eneral practices of wage setting are </w:t>
      </w:r>
      <w:r w:rsidR="00C54337" w:rsidRPr="00F31E0C">
        <w:rPr>
          <w:rFonts w:cstheme="minorHAnsi"/>
          <w:sz w:val="24"/>
          <w:szCs w:val="24"/>
          <w:lang w:val="en-GB"/>
        </w:rPr>
        <w:t>outlined</w:t>
      </w:r>
      <w:r w:rsidRPr="00F31E0C">
        <w:rPr>
          <w:rFonts w:cstheme="minorHAnsi"/>
          <w:sz w:val="24"/>
          <w:szCs w:val="24"/>
          <w:lang w:val="en-GB"/>
        </w:rPr>
        <w:t xml:space="preserve"> in the context of wider</w:t>
      </w:r>
      <w:r w:rsidR="00EF7F96" w:rsidRPr="00F31E0C">
        <w:rPr>
          <w:rFonts w:cstheme="minorHAnsi"/>
          <w:sz w:val="24"/>
          <w:szCs w:val="24"/>
          <w:lang w:val="en-GB"/>
        </w:rPr>
        <w:t xml:space="preserve"> global</w:t>
      </w:r>
      <w:r w:rsidRPr="00F31E0C">
        <w:rPr>
          <w:rFonts w:cstheme="minorHAnsi"/>
          <w:sz w:val="24"/>
          <w:szCs w:val="24"/>
          <w:lang w:val="en-GB"/>
        </w:rPr>
        <w:t xml:space="preserve"> trends towards individualization and employer discretion. </w:t>
      </w:r>
      <w:r w:rsidR="00941BEF">
        <w:rPr>
          <w:rFonts w:cstheme="minorHAnsi"/>
          <w:sz w:val="24"/>
          <w:szCs w:val="24"/>
          <w:lang w:val="en-GB"/>
        </w:rPr>
        <w:t xml:space="preserve">Evidence on the </w:t>
      </w:r>
      <w:r w:rsidR="00C54337" w:rsidRPr="00F31E0C">
        <w:rPr>
          <w:rFonts w:cstheme="minorHAnsi"/>
          <w:sz w:val="24"/>
          <w:szCs w:val="24"/>
          <w:lang w:val="en-GB"/>
        </w:rPr>
        <w:t xml:space="preserve">four sectors </w:t>
      </w:r>
      <w:r w:rsidR="00941BEF">
        <w:rPr>
          <w:rFonts w:cstheme="minorHAnsi"/>
          <w:sz w:val="24"/>
          <w:szCs w:val="24"/>
          <w:lang w:val="en-GB"/>
        </w:rPr>
        <w:t xml:space="preserve">is summarised </w:t>
      </w:r>
      <w:r w:rsidR="00C54337" w:rsidRPr="00F31E0C">
        <w:rPr>
          <w:rFonts w:cstheme="minorHAnsi"/>
          <w:sz w:val="24"/>
          <w:szCs w:val="24"/>
          <w:lang w:val="en-GB"/>
        </w:rPr>
        <w:t xml:space="preserve">together with the most relevant trade unions and employer organization in each, with particular attention paid to low-paid jobs in the sector. </w:t>
      </w:r>
      <w:r w:rsidR="00941BEF">
        <w:rPr>
          <w:rFonts w:cstheme="minorHAnsi"/>
          <w:sz w:val="24"/>
          <w:szCs w:val="24"/>
          <w:lang w:val="en-GB"/>
        </w:rPr>
        <w:t>W</w:t>
      </w:r>
      <w:r w:rsidR="00EF7F96" w:rsidRPr="00F31E0C">
        <w:rPr>
          <w:rFonts w:cstheme="minorHAnsi"/>
          <w:sz w:val="24"/>
          <w:szCs w:val="24"/>
          <w:lang w:val="en-GB"/>
        </w:rPr>
        <w:t xml:space="preserve">age setting and collective bargaining in the </w:t>
      </w:r>
      <w:r w:rsidR="000A7619" w:rsidRPr="00F31E0C">
        <w:rPr>
          <w:rFonts w:cstheme="minorHAnsi"/>
          <w:sz w:val="24"/>
          <w:szCs w:val="24"/>
          <w:lang w:val="en-GB"/>
        </w:rPr>
        <w:t xml:space="preserve">four sectors are </w:t>
      </w:r>
      <w:r w:rsidR="00C54337" w:rsidRPr="00F31E0C">
        <w:rPr>
          <w:rFonts w:cstheme="minorHAnsi"/>
          <w:sz w:val="24"/>
          <w:szCs w:val="24"/>
          <w:lang w:val="en-GB"/>
        </w:rPr>
        <w:t xml:space="preserve">traced in detail, accounting for </w:t>
      </w:r>
      <w:r w:rsidR="00941BEF">
        <w:rPr>
          <w:rFonts w:cstheme="minorHAnsi"/>
          <w:sz w:val="24"/>
          <w:szCs w:val="24"/>
          <w:lang w:val="en-GB"/>
        </w:rPr>
        <w:t>wage setting at several</w:t>
      </w:r>
      <w:r w:rsidR="00C54337" w:rsidRPr="00F31E0C">
        <w:rPr>
          <w:rFonts w:cstheme="minorHAnsi"/>
          <w:sz w:val="24"/>
          <w:szCs w:val="24"/>
          <w:lang w:val="en-GB"/>
        </w:rPr>
        <w:t xml:space="preserve"> levels</w:t>
      </w:r>
      <w:r w:rsidR="00941BEF">
        <w:rPr>
          <w:rFonts w:cstheme="minorHAnsi"/>
          <w:sz w:val="24"/>
          <w:szCs w:val="24"/>
          <w:lang w:val="en-GB"/>
        </w:rPr>
        <w:t xml:space="preserve">, including the </w:t>
      </w:r>
      <w:r w:rsidR="00C54337" w:rsidRPr="00F31E0C">
        <w:rPr>
          <w:rFonts w:cstheme="minorHAnsi"/>
          <w:sz w:val="24"/>
          <w:szCs w:val="24"/>
          <w:lang w:val="en-GB"/>
        </w:rPr>
        <w:t>statutory, municipal, sectoral, company</w:t>
      </w:r>
      <w:r w:rsidR="00DA460B">
        <w:rPr>
          <w:rFonts w:cstheme="minorHAnsi"/>
          <w:sz w:val="24"/>
          <w:szCs w:val="24"/>
          <w:lang w:val="en-GB"/>
        </w:rPr>
        <w:t>,</w:t>
      </w:r>
      <w:r w:rsidR="00C54337" w:rsidRPr="00F31E0C">
        <w:rPr>
          <w:rFonts w:cstheme="minorHAnsi"/>
          <w:sz w:val="24"/>
          <w:szCs w:val="24"/>
          <w:lang w:val="en-GB"/>
        </w:rPr>
        <w:t xml:space="preserve"> and individual level. </w:t>
      </w:r>
    </w:p>
    <w:p w14:paraId="7BE95C8E" w14:textId="77777777" w:rsidR="00941BEF" w:rsidRDefault="00941BEF" w:rsidP="00755845">
      <w:pPr>
        <w:spacing w:line="360" w:lineRule="auto"/>
        <w:contextualSpacing/>
        <w:jc w:val="both"/>
        <w:rPr>
          <w:rFonts w:cstheme="minorHAnsi"/>
          <w:sz w:val="24"/>
          <w:szCs w:val="24"/>
          <w:lang w:val="en-GB"/>
        </w:rPr>
      </w:pPr>
    </w:p>
    <w:p w14:paraId="13CE9E58" w14:textId="2545A576" w:rsidR="00CF0CC2" w:rsidRPr="00F31E0C" w:rsidRDefault="00CF0CC2" w:rsidP="00755845">
      <w:pPr>
        <w:spacing w:line="360" w:lineRule="auto"/>
        <w:contextualSpacing/>
        <w:jc w:val="both"/>
        <w:rPr>
          <w:rFonts w:cstheme="minorHAnsi"/>
          <w:sz w:val="24"/>
          <w:szCs w:val="24"/>
          <w:lang w:val="en-GB"/>
        </w:rPr>
      </w:pPr>
      <w:r w:rsidRPr="00F31E0C">
        <w:rPr>
          <w:rFonts w:cstheme="minorHAnsi"/>
          <w:sz w:val="24"/>
          <w:szCs w:val="24"/>
          <w:lang w:val="en-GB"/>
        </w:rPr>
        <w:t xml:space="preserve">Keywords: </w:t>
      </w:r>
      <w:r w:rsidR="00C54337" w:rsidRPr="00F31E0C">
        <w:rPr>
          <w:rFonts w:cstheme="minorHAnsi"/>
          <w:sz w:val="24"/>
          <w:szCs w:val="24"/>
          <w:lang w:val="en-GB"/>
        </w:rPr>
        <w:t>wage setting, collective bargaining, statutory minimum wage, industrial relations</w:t>
      </w:r>
    </w:p>
    <w:p w14:paraId="789D4791" w14:textId="77777777" w:rsidR="00CF0CC2" w:rsidRPr="00F31E0C" w:rsidRDefault="00CF0CC2" w:rsidP="00755845">
      <w:pPr>
        <w:spacing w:after="0" w:line="360" w:lineRule="auto"/>
        <w:contextualSpacing/>
        <w:jc w:val="both"/>
        <w:rPr>
          <w:rFonts w:cs="Times New Roman"/>
          <w:b/>
          <w:bCs/>
          <w:sz w:val="24"/>
          <w:szCs w:val="24"/>
          <w:lang w:val="en-GB"/>
        </w:rPr>
      </w:pPr>
    </w:p>
    <w:p w14:paraId="44CF8F52" w14:textId="77777777" w:rsidR="00CF0CC2" w:rsidRPr="00F31E0C" w:rsidRDefault="00CF0CC2" w:rsidP="00755845">
      <w:pPr>
        <w:spacing w:after="0" w:line="360" w:lineRule="auto"/>
        <w:contextualSpacing/>
        <w:jc w:val="both"/>
        <w:rPr>
          <w:rFonts w:cs="Times New Roman"/>
          <w:b/>
          <w:bCs/>
          <w:sz w:val="24"/>
          <w:szCs w:val="24"/>
          <w:lang w:val="en-GB"/>
        </w:rPr>
      </w:pPr>
    </w:p>
    <w:p w14:paraId="69BA0A30" w14:textId="77777777" w:rsidR="00CF0CC2" w:rsidRPr="00F31E0C" w:rsidRDefault="00CF0CC2" w:rsidP="00755845">
      <w:pPr>
        <w:spacing w:after="0" w:line="360" w:lineRule="auto"/>
        <w:contextualSpacing/>
        <w:jc w:val="both"/>
        <w:rPr>
          <w:rFonts w:cs="Times New Roman"/>
          <w:b/>
          <w:bCs/>
          <w:sz w:val="24"/>
          <w:szCs w:val="24"/>
          <w:lang w:val="en-GB"/>
        </w:rPr>
      </w:pPr>
    </w:p>
    <w:p w14:paraId="2125C5A1" w14:textId="187D636A" w:rsidR="00CF0CC2" w:rsidRPr="00F31E0C" w:rsidRDefault="00941BEF" w:rsidP="00755845">
      <w:pPr>
        <w:tabs>
          <w:tab w:val="center" w:pos="4536"/>
        </w:tabs>
        <w:spacing w:after="0" w:line="360" w:lineRule="auto"/>
        <w:contextualSpacing/>
        <w:jc w:val="both"/>
        <w:rPr>
          <w:rFonts w:cs="Times New Roman"/>
          <w:b/>
          <w:bCs/>
          <w:sz w:val="24"/>
          <w:szCs w:val="24"/>
          <w:lang w:val="en-GB"/>
        </w:rPr>
      </w:pPr>
      <w:r>
        <w:rPr>
          <w:rFonts w:cs="Times New Roman"/>
          <w:b/>
          <w:bCs/>
          <w:sz w:val="24"/>
          <w:szCs w:val="24"/>
          <w:lang w:val="en-GB"/>
        </w:rPr>
        <w:t>Disclaimer</w:t>
      </w:r>
      <w:r w:rsidR="00454111" w:rsidRPr="00F31E0C">
        <w:rPr>
          <w:rFonts w:cs="Times New Roman"/>
          <w:b/>
          <w:bCs/>
          <w:sz w:val="24"/>
          <w:szCs w:val="24"/>
          <w:lang w:val="en-GB"/>
        </w:rPr>
        <w:tab/>
      </w:r>
    </w:p>
    <w:p w14:paraId="411B846F" w14:textId="19EAB689" w:rsidR="00CF0CC2" w:rsidRPr="00F31E0C" w:rsidRDefault="00CF0CC2" w:rsidP="00755845">
      <w:pPr>
        <w:spacing w:line="360" w:lineRule="auto"/>
        <w:contextualSpacing/>
        <w:jc w:val="both"/>
        <w:rPr>
          <w:sz w:val="24"/>
          <w:szCs w:val="24"/>
          <w:lang w:val="en-GB"/>
        </w:rPr>
      </w:pPr>
      <w:r w:rsidRPr="00F31E0C">
        <w:rPr>
          <w:rFonts w:cs="Times New Roman"/>
          <w:sz w:val="24"/>
          <w:szCs w:val="24"/>
          <w:lang w:val="en-GB"/>
        </w:rPr>
        <w:t xml:space="preserve">This </w:t>
      </w:r>
      <w:r w:rsidR="00941BEF">
        <w:rPr>
          <w:rFonts w:cs="Times New Roman"/>
          <w:sz w:val="24"/>
          <w:szCs w:val="24"/>
          <w:lang w:val="en-GB"/>
        </w:rPr>
        <w:t>report</w:t>
      </w:r>
      <w:r w:rsidRPr="00F31E0C">
        <w:rPr>
          <w:rFonts w:cs="Times New Roman"/>
          <w:sz w:val="24"/>
          <w:szCs w:val="24"/>
          <w:lang w:val="en-GB"/>
        </w:rPr>
        <w:t xml:space="preserve"> reflects the views of the authors only; the European Commission or any other funding agency or consortium partner cannot be held responsible for any use that may be made of the information contained therein. </w:t>
      </w:r>
    </w:p>
    <w:p w14:paraId="57B47316" w14:textId="77777777" w:rsidR="00CF0CC2" w:rsidRPr="00F31E0C" w:rsidRDefault="00CF0CC2" w:rsidP="00755845">
      <w:pPr>
        <w:spacing w:line="360" w:lineRule="auto"/>
        <w:contextualSpacing/>
        <w:jc w:val="both"/>
        <w:rPr>
          <w:rFonts w:asciiTheme="majorHAnsi" w:hAnsiTheme="majorHAnsi" w:cstheme="majorHAnsi"/>
          <w:sz w:val="24"/>
          <w:szCs w:val="24"/>
          <w:lang w:val="en-GB"/>
        </w:rPr>
      </w:pPr>
    </w:p>
    <w:p w14:paraId="40AFE7E3" w14:textId="77777777" w:rsidR="00CF0CC2" w:rsidRPr="00F31E0C" w:rsidRDefault="00CF0CC2" w:rsidP="00755845">
      <w:pPr>
        <w:spacing w:line="360" w:lineRule="auto"/>
        <w:contextualSpacing/>
        <w:jc w:val="both"/>
        <w:rPr>
          <w:rFonts w:ascii="Cambria" w:eastAsia="Cambria" w:hAnsi="Cambria" w:cs="Cambria"/>
          <w:b/>
          <w:color w:val="365F91"/>
          <w:sz w:val="24"/>
          <w:szCs w:val="24"/>
          <w:lang w:val="en-GB"/>
        </w:rPr>
      </w:pPr>
      <w:r w:rsidRPr="00F31E0C">
        <w:rPr>
          <w:sz w:val="24"/>
          <w:szCs w:val="24"/>
          <w:lang w:val="en-GB"/>
        </w:rPr>
        <w:br w:type="page"/>
      </w:r>
    </w:p>
    <w:p w14:paraId="375FC196" w14:textId="1C01580A" w:rsidR="00CF0CC2" w:rsidRPr="00941BEF" w:rsidRDefault="00CF0CC2" w:rsidP="00DA460B">
      <w:pPr>
        <w:spacing w:line="360" w:lineRule="auto"/>
        <w:rPr>
          <w:b/>
          <w:bCs/>
          <w:color w:val="0070C0"/>
          <w:sz w:val="24"/>
          <w:szCs w:val="24"/>
          <w:lang w:val="en-GB"/>
        </w:rPr>
      </w:pPr>
      <w:bookmarkStart w:id="6" w:name="_Toc169685401"/>
      <w:r w:rsidRPr="00941BEF">
        <w:rPr>
          <w:b/>
          <w:bCs/>
          <w:color w:val="0070C0"/>
          <w:sz w:val="24"/>
          <w:szCs w:val="24"/>
          <w:lang w:val="en-GB"/>
        </w:rPr>
        <w:lastRenderedPageBreak/>
        <w:t>BARWAGE</w:t>
      </w:r>
      <w:bookmarkEnd w:id="6"/>
    </w:p>
    <w:p w14:paraId="6F927453" w14:textId="5813215A" w:rsidR="00CF0CC2" w:rsidRPr="00766773" w:rsidRDefault="00CF0CC2" w:rsidP="00766773">
      <w:pPr>
        <w:pStyle w:val="Zkladntext2"/>
        <w:rPr>
          <w:lang w:val="en-GB"/>
        </w:rPr>
      </w:pPr>
      <w:r w:rsidRPr="00766773">
        <w:rPr>
          <w:lang w:val="en-GB"/>
        </w:rPr>
        <w:t xml:space="preserve">BARWAGE investigates the potential of collective bargaining as a tool for ensuring adequate minimum wages in the European Union. It explores the size of four wage-setting arenas across EU countries </w:t>
      </w:r>
      <w:r w:rsidR="00941BEF" w:rsidRPr="00766773">
        <w:rPr>
          <w:lang w:val="en-GB"/>
        </w:rPr>
        <w:t>and industries</w:t>
      </w:r>
      <w:r w:rsidRPr="00766773">
        <w:rPr>
          <w:lang w:val="en-GB"/>
        </w:rPr>
        <w:t xml:space="preserve">: the national or peak level, sector-level collective bargaining, firm-level collective bargaining, and individual (non-collective) negotiations. BARWAGE uses microdata to identify what share of the workers are earning under 110% of the statutory minimum wage are covered by sectoral or enterprise collective bargaining. Using coded data of 900 CBAs from 9 EU countries, the presence and nature of pay scales in the sectoral and firm-level collective bargaining agreements (CBAs) are analysed. To deepen the insight into the impact of collective wage bargaining, national level data will be used to detail the wage arenas in 2 EU countries (Netherlands and Italy). The project lasts 2 years (2022-2024) and includes 6 work packages. </w:t>
      </w:r>
    </w:p>
    <w:p w14:paraId="60859660" w14:textId="430FDA23" w:rsidR="00CF0CC2" w:rsidRPr="00941BEF" w:rsidRDefault="00CF0CC2" w:rsidP="00DA460B">
      <w:pPr>
        <w:spacing w:line="360" w:lineRule="auto"/>
        <w:rPr>
          <w:b/>
          <w:bCs/>
          <w:color w:val="0070C0"/>
          <w:sz w:val="24"/>
          <w:szCs w:val="24"/>
          <w:lang w:val="en-GB"/>
        </w:rPr>
      </w:pPr>
      <w:bookmarkStart w:id="7" w:name="_heading=h.3znysh7" w:colFirst="0" w:colLast="0"/>
      <w:bookmarkStart w:id="8" w:name="_Toc131494359"/>
      <w:bookmarkStart w:id="9" w:name="_Toc169685402"/>
      <w:bookmarkEnd w:id="7"/>
      <w:r w:rsidRPr="00941BEF">
        <w:rPr>
          <w:b/>
          <w:bCs/>
          <w:color w:val="0070C0"/>
          <w:sz w:val="24"/>
          <w:szCs w:val="24"/>
          <w:lang w:val="en-GB"/>
        </w:rPr>
        <w:t>Utrecht University</w:t>
      </w:r>
      <w:bookmarkEnd w:id="8"/>
      <w:bookmarkEnd w:id="9"/>
    </w:p>
    <w:p w14:paraId="7FE6D563" w14:textId="77777777" w:rsidR="00CF0CC2" w:rsidRPr="00F31E0C" w:rsidRDefault="00CF0CC2" w:rsidP="00DA460B">
      <w:pPr>
        <w:spacing w:line="360" w:lineRule="auto"/>
        <w:jc w:val="both"/>
        <w:rPr>
          <w:sz w:val="24"/>
          <w:szCs w:val="24"/>
          <w:lang w:val="en-GB"/>
        </w:rPr>
      </w:pPr>
      <w:r w:rsidRPr="00F31E0C">
        <w:rPr>
          <w:sz w:val="24"/>
          <w:szCs w:val="24"/>
          <w:lang w:val="en-GB"/>
        </w:rPr>
        <w:t>The Faculty of Social &amp; Behavioural Sciences of Utrecht University is a leader in education and research in the social and behavioural sciences. The Department of Interdisciplinary Social Science deals with issues such as discrimination in the job market, reintegration at work, growing up in a multicultural neighbourhood, developing your individual identity, high-risk behaviour in young people, growing inequality and the accessibility of care. Interdisciplinary Social Science focuses on understanding these complex issues and on finding solutions to the individual and societal problems that play a role in them.</w:t>
      </w:r>
    </w:p>
    <w:p w14:paraId="5595221C" w14:textId="32861A47" w:rsidR="00CF0CC2" w:rsidRPr="00941BEF" w:rsidRDefault="00CF0CC2" w:rsidP="00DA460B">
      <w:pPr>
        <w:spacing w:line="360" w:lineRule="auto"/>
        <w:rPr>
          <w:b/>
          <w:bCs/>
          <w:color w:val="0070C0"/>
          <w:sz w:val="24"/>
          <w:szCs w:val="24"/>
          <w:lang w:val="en-GB"/>
        </w:rPr>
      </w:pPr>
      <w:bookmarkStart w:id="10" w:name="_heading=h.tyjcwt" w:colFirst="0" w:colLast="0"/>
      <w:bookmarkStart w:id="11" w:name="_Toc131494360"/>
      <w:bookmarkStart w:id="12" w:name="_Toc169685403"/>
      <w:bookmarkEnd w:id="10"/>
      <w:r w:rsidRPr="00941BEF">
        <w:rPr>
          <w:b/>
          <w:bCs/>
          <w:color w:val="0070C0"/>
          <w:sz w:val="24"/>
          <w:szCs w:val="24"/>
          <w:lang w:val="en-GB"/>
        </w:rPr>
        <w:t>Fondazione Giuseppe Di Vittorio</w:t>
      </w:r>
      <w:bookmarkEnd w:id="11"/>
      <w:bookmarkEnd w:id="12"/>
    </w:p>
    <w:p w14:paraId="554A82C8" w14:textId="77777777" w:rsidR="00CF0CC2" w:rsidRDefault="00CF0CC2" w:rsidP="00DA460B">
      <w:pPr>
        <w:spacing w:line="360" w:lineRule="auto"/>
        <w:jc w:val="both"/>
        <w:rPr>
          <w:sz w:val="24"/>
          <w:szCs w:val="24"/>
          <w:lang w:val="en-GB"/>
        </w:rPr>
      </w:pPr>
      <w:r w:rsidRPr="00F31E0C">
        <w:rPr>
          <w:sz w:val="24"/>
          <w:szCs w:val="24"/>
          <w:lang w:val="en-GB"/>
        </w:rPr>
        <w:t xml:space="preserve">The Fondazione Di Vittorio (FDV) is national institute both for historical, social, and economic research, and for trade union education and training of trade union confederation CGIL. The FDV centres its activities </w:t>
      </w:r>
      <w:proofErr w:type="gramStart"/>
      <w:r w:rsidRPr="00F31E0C">
        <w:rPr>
          <w:sz w:val="24"/>
          <w:szCs w:val="24"/>
          <w:lang w:val="en-GB"/>
        </w:rPr>
        <w:t>around</w:t>
      </w:r>
      <w:proofErr w:type="gramEnd"/>
      <w:r w:rsidRPr="00F31E0C">
        <w:rPr>
          <w:sz w:val="24"/>
          <w:szCs w:val="24"/>
          <w:lang w:val="en-GB"/>
        </w:rPr>
        <w:t xml:space="preserve"> the core issues of work and employment, economics and welfare. Its aim is to put people and their rights back on the centre stage, along with their living and working conditions, their interests and the demands they express, linking all this to the values and ideals that make the CGIL one of the most important social and political entities in Italy.</w:t>
      </w:r>
    </w:p>
    <w:p w14:paraId="34B37AF6" w14:textId="77777777" w:rsidR="00766773" w:rsidRPr="00F31E0C" w:rsidRDefault="00766773" w:rsidP="00DA460B">
      <w:pPr>
        <w:spacing w:line="360" w:lineRule="auto"/>
        <w:jc w:val="both"/>
        <w:rPr>
          <w:sz w:val="24"/>
          <w:szCs w:val="24"/>
          <w:lang w:val="en-GB"/>
        </w:rPr>
      </w:pPr>
    </w:p>
    <w:p w14:paraId="2688211A" w14:textId="2B77917C" w:rsidR="00CF0CC2" w:rsidRPr="00941BEF" w:rsidRDefault="00CF0CC2" w:rsidP="00DA460B">
      <w:pPr>
        <w:spacing w:line="360" w:lineRule="auto"/>
        <w:rPr>
          <w:b/>
          <w:bCs/>
          <w:color w:val="0070C0"/>
          <w:sz w:val="24"/>
          <w:szCs w:val="24"/>
          <w:lang w:val="en-GB"/>
        </w:rPr>
      </w:pPr>
      <w:bookmarkStart w:id="13" w:name="_heading=h.2et92p0" w:colFirst="0" w:colLast="0"/>
      <w:bookmarkStart w:id="14" w:name="_Toc131494361"/>
      <w:bookmarkStart w:id="15" w:name="_Toc169685404"/>
      <w:bookmarkEnd w:id="13"/>
      <w:r w:rsidRPr="00941BEF">
        <w:rPr>
          <w:b/>
          <w:bCs/>
          <w:color w:val="0070C0"/>
          <w:sz w:val="24"/>
          <w:szCs w:val="24"/>
          <w:lang w:val="en-GB"/>
        </w:rPr>
        <w:lastRenderedPageBreak/>
        <w:t>Central European Labour Studies Institute (CELSI)</w:t>
      </w:r>
      <w:bookmarkEnd w:id="14"/>
      <w:bookmarkEnd w:id="15"/>
    </w:p>
    <w:p w14:paraId="4F6AB23E" w14:textId="5164079A" w:rsidR="00CF0CC2" w:rsidRPr="00DA460B" w:rsidRDefault="00CF0CC2" w:rsidP="00DA460B">
      <w:pPr>
        <w:pStyle w:val="Zkladntext2"/>
        <w:rPr>
          <w:lang w:val="en-GB"/>
        </w:rPr>
      </w:pPr>
      <w:r w:rsidRPr="00DA460B">
        <w:rPr>
          <w:lang w:val="en-GB"/>
        </w:rPr>
        <w:t>Central European Labour Studies Institute (CELSI) is a non-profit research institute based in Bratislava, Slovakia. It fosters multidisciplinary research about the functioning of labour markets and institutions, work and organizations, business and society, and ethnicity and migration in the economic, social, and political life of modern societies. CELSI strives to contribute to the cutting-edge international scientific discourse.</w:t>
      </w:r>
    </w:p>
    <w:p w14:paraId="4B44DF85" w14:textId="13E39BA3" w:rsidR="00CF0CC2" w:rsidRPr="00941BEF" w:rsidRDefault="00CF0CC2" w:rsidP="00DA460B">
      <w:pPr>
        <w:spacing w:line="360" w:lineRule="auto"/>
        <w:rPr>
          <w:b/>
          <w:bCs/>
          <w:color w:val="0070C0"/>
          <w:sz w:val="24"/>
          <w:szCs w:val="24"/>
          <w:lang w:val="en-GB"/>
        </w:rPr>
      </w:pPr>
      <w:bookmarkStart w:id="16" w:name="_heading=h.3dy6vkm" w:colFirst="0" w:colLast="0"/>
      <w:bookmarkStart w:id="17" w:name="_Toc131494362"/>
      <w:bookmarkStart w:id="18" w:name="_Toc169685405"/>
      <w:bookmarkEnd w:id="16"/>
      <w:proofErr w:type="spellStart"/>
      <w:r w:rsidRPr="00941BEF">
        <w:rPr>
          <w:b/>
          <w:bCs/>
          <w:color w:val="0070C0"/>
          <w:sz w:val="24"/>
          <w:szCs w:val="24"/>
          <w:lang w:val="en-GB"/>
        </w:rPr>
        <w:t>WageIndicator</w:t>
      </w:r>
      <w:proofErr w:type="spellEnd"/>
      <w:r w:rsidRPr="00941BEF">
        <w:rPr>
          <w:b/>
          <w:bCs/>
          <w:color w:val="0070C0"/>
          <w:sz w:val="24"/>
          <w:szCs w:val="24"/>
          <w:lang w:val="en-GB"/>
        </w:rPr>
        <w:t xml:space="preserve"> Foundation</w:t>
      </w:r>
      <w:bookmarkEnd w:id="17"/>
      <w:bookmarkEnd w:id="18"/>
    </w:p>
    <w:p w14:paraId="1334D046" w14:textId="018F96EB" w:rsidR="00CF0CC2" w:rsidRPr="0011716C" w:rsidRDefault="00CF0CC2" w:rsidP="00DA460B">
      <w:pPr>
        <w:spacing w:line="360" w:lineRule="auto"/>
        <w:jc w:val="both"/>
        <w:rPr>
          <w:rFonts w:ascii="Times New Roman" w:hAnsi="Times New Roman" w:cs="Times New Roman"/>
          <w:b/>
          <w:sz w:val="24"/>
          <w:szCs w:val="24"/>
          <w:lang w:val="en-GB"/>
        </w:rPr>
      </w:pPr>
      <w:proofErr w:type="spellStart"/>
      <w:r w:rsidRPr="00F31E0C">
        <w:rPr>
          <w:sz w:val="24"/>
          <w:szCs w:val="24"/>
          <w:lang w:val="en-GB"/>
        </w:rPr>
        <w:t>WageIndicator</w:t>
      </w:r>
      <w:proofErr w:type="spellEnd"/>
      <w:r w:rsidRPr="00F31E0C">
        <w:rPr>
          <w:sz w:val="24"/>
          <w:szCs w:val="24"/>
          <w:lang w:val="en-GB"/>
        </w:rPr>
        <w:t xml:space="preserve"> Foundation collects, compares and shares labour market information through online and offline surveys and research. Its national websites serve as always up-to-date online libraries featuring (living) wage information, labour law and career advice, for employees, employers and social partners. In this way, </w:t>
      </w:r>
      <w:proofErr w:type="spellStart"/>
      <w:r w:rsidRPr="00F31E0C">
        <w:rPr>
          <w:sz w:val="24"/>
          <w:szCs w:val="24"/>
          <w:lang w:val="en-GB"/>
        </w:rPr>
        <w:t>WageIndicator</w:t>
      </w:r>
      <w:proofErr w:type="spellEnd"/>
      <w:r w:rsidRPr="00F31E0C">
        <w:rPr>
          <w:sz w:val="24"/>
          <w:szCs w:val="24"/>
          <w:lang w:val="en-GB"/>
        </w:rPr>
        <w:t xml:space="preserve"> is a life changer for millions of people around the world.</w:t>
      </w:r>
    </w:p>
    <w:p w14:paraId="6B08341F" w14:textId="502E022B" w:rsidR="0053307E" w:rsidRPr="0011716C" w:rsidRDefault="00CF0CC2" w:rsidP="00755845">
      <w:pPr>
        <w:spacing w:line="360" w:lineRule="auto"/>
        <w:contextualSpacing/>
        <w:jc w:val="both"/>
        <w:rPr>
          <w:rFonts w:ascii="Times New Roman" w:hAnsi="Times New Roman" w:cs="Times New Roman"/>
          <w:sz w:val="24"/>
          <w:szCs w:val="24"/>
          <w:lang w:val="en-GB"/>
        </w:rPr>
      </w:pPr>
      <w:r w:rsidRPr="0011716C">
        <w:rPr>
          <w:rFonts w:ascii="Times New Roman" w:hAnsi="Times New Roman" w:cs="Times New Roman"/>
          <w:b/>
          <w:sz w:val="24"/>
          <w:szCs w:val="24"/>
          <w:lang w:val="en-GB"/>
        </w:rPr>
        <w:br w:type="page"/>
      </w:r>
    </w:p>
    <w:sdt>
      <w:sdtPr>
        <w:rPr>
          <w:rFonts w:ascii="Cambria" w:eastAsiaTheme="minorHAnsi" w:hAnsi="Cambria" w:cstheme="minorBidi"/>
          <w:b w:val="0"/>
          <w:bCs w:val="0"/>
          <w:color w:val="auto"/>
          <w:sz w:val="24"/>
          <w:szCs w:val="24"/>
          <w:lang w:val="en-GB"/>
        </w:rPr>
        <w:id w:val="-281577934"/>
        <w:docPartObj>
          <w:docPartGallery w:val="Table of Contents"/>
          <w:docPartUnique/>
        </w:docPartObj>
      </w:sdtPr>
      <w:sdtEndPr>
        <w:rPr>
          <w:rFonts w:asciiTheme="minorHAnsi" w:hAnsiTheme="minorHAnsi"/>
          <w:noProof/>
        </w:rPr>
      </w:sdtEndPr>
      <w:sdtContent>
        <w:p w14:paraId="681E179C" w14:textId="2D1B5258" w:rsidR="00B518B1" w:rsidRPr="00F01203" w:rsidRDefault="004372F5" w:rsidP="00755845">
          <w:pPr>
            <w:pStyle w:val="Hlavikaobsahu"/>
            <w:spacing w:line="360" w:lineRule="auto"/>
            <w:contextualSpacing/>
            <w:jc w:val="both"/>
            <w:rPr>
              <w:rFonts w:ascii="Cambria" w:hAnsi="Cambria"/>
              <w:b w:val="0"/>
              <w:sz w:val="24"/>
              <w:szCs w:val="24"/>
              <w:lang w:val="en-GB"/>
            </w:rPr>
          </w:pPr>
          <w:r w:rsidRPr="0011716C">
            <w:rPr>
              <w:rFonts w:ascii="Cambria" w:hAnsi="Cambria"/>
              <w:b w:val="0"/>
              <w:sz w:val="24"/>
              <w:szCs w:val="24"/>
              <w:lang w:val="en-GB"/>
            </w:rPr>
            <w:t>Table of Contents</w:t>
          </w:r>
        </w:p>
        <w:p w14:paraId="1B4D2607" w14:textId="475AB41A" w:rsidR="00941BEF" w:rsidRPr="00BC5D15" w:rsidRDefault="004372F5" w:rsidP="00755845">
          <w:pPr>
            <w:pStyle w:val="Obsah1"/>
            <w:contextualSpacing/>
            <w:rPr>
              <w:rFonts w:eastAsiaTheme="minorEastAsia" w:cstheme="minorBidi"/>
              <w:b w:val="0"/>
              <w:bCs w:val="0"/>
              <w:i w:val="0"/>
              <w:iCs w:val="0"/>
              <w:noProof/>
              <w:kern w:val="2"/>
              <w:lang w:val="aa-ET" w:eastAsia="en-GB"/>
              <w14:ligatures w14:val="standardContextual"/>
            </w:rPr>
          </w:pPr>
          <w:r w:rsidRPr="00BC5D15">
            <w:rPr>
              <w:rFonts w:ascii="Cambria" w:hAnsi="Cambria"/>
              <w:b w:val="0"/>
              <w:bCs w:val="0"/>
              <w:i w:val="0"/>
              <w:iCs w:val="0"/>
              <w:lang w:val="en-GB"/>
            </w:rPr>
            <w:fldChar w:fldCharType="begin"/>
          </w:r>
          <w:r w:rsidRPr="00BC5D15">
            <w:rPr>
              <w:rFonts w:ascii="Cambria" w:hAnsi="Cambria"/>
              <w:b w:val="0"/>
              <w:bCs w:val="0"/>
              <w:i w:val="0"/>
              <w:iCs w:val="0"/>
              <w:lang w:val="en-GB"/>
            </w:rPr>
            <w:instrText xml:space="preserve"> TOC \o "1-3" \h \z \u </w:instrText>
          </w:r>
          <w:r w:rsidRPr="00BC5D15">
            <w:rPr>
              <w:rFonts w:ascii="Cambria" w:hAnsi="Cambria"/>
              <w:b w:val="0"/>
              <w:bCs w:val="0"/>
              <w:i w:val="0"/>
              <w:iCs w:val="0"/>
              <w:lang w:val="en-GB"/>
            </w:rPr>
            <w:fldChar w:fldCharType="separate"/>
          </w:r>
          <w:hyperlink w:anchor="_Toc174086653" w:history="1">
            <w:r w:rsidR="00941BEF" w:rsidRPr="00BC5D15">
              <w:rPr>
                <w:rStyle w:val="Hypertextovprepojenie"/>
                <w:b w:val="0"/>
                <w:bCs w:val="0"/>
                <w:noProof/>
                <w:lang w:val="en-GB"/>
              </w:rPr>
              <w:t>Introduction</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_Toc174086653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6</w:t>
            </w:r>
            <w:r w:rsidR="00941BEF" w:rsidRPr="00BC5D15">
              <w:rPr>
                <w:b w:val="0"/>
                <w:bCs w:val="0"/>
                <w:noProof/>
                <w:webHidden/>
              </w:rPr>
              <w:fldChar w:fldCharType="end"/>
            </w:r>
          </w:hyperlink>
        </w:p>
        <w:p w14:paraId="79B89608" w14:textId="351B5F45" w:rsidR="00941BEF" w:rsidRPr="00BC5D15" w:rsidRDefault="008F4AD7" w:rsidP="00755845">
          <w:pPr>
            <w:pStyle w:val="Obsah1"/>
            <w:tabs>
              <w:tab w:val="left" w:pos="660"/>
            </w:tabs>
            <w:contextualSpacing/>
            <w:rPr>
              <w:rFonts w:eastAsiaTheme="minorEastAsia" w:cstheme="minorBidi"/>
              <w:b w:val="0"/>
              <w:bCs w:val="0"/>
              <w:i w:val="0"/>
              <w:iCs w:val="0"/>
              <w:noProof/>
              <w:kern w:val="2"/>
              <w:lang w:val="aa-ET" w:eastAsia="en-GB"/>
              <w14:ligatures w14:val="standardContextual"/>
            </w:rPr>
          </w:pPr>
          <w:hyperlink w:anchor="_Toc174086654" w:history="1">
            <w:r w:rsidR="00941BEF" w:rsidRPr="00BC5D15">
              <w:rPr>
                <w:rStyle w:val="Hypertextovprepojenie"/>
                <w:rFonts w:cstheme="majorHAnsi"/>
                <w:b w:val="0"/>
                <w:bCs w:val="0"/>
                <w:noProof/>
                <w:lang w:val="en-GB"/>
              </w:rPr>
              <w:t>1.</w:t>
            </w:r>
            <w:r w:rsidR="00941BEF" w:rsidRPr="00BC5D15">
              <w:rPr>
                <w:rFonts w:eastAsiaTheme="minorEastAsia" w:cstheme="minorBidi"/>
                <w:b w:val="0"/>
                <w:bCs w:val="0"/>
                <w:i w:val="0"/>
                <w:iCs w:val="0"/>
                <w:noProof/>
                <w:kern w:val="2"/>
                <w:lang w:val="aa-ET" w:eastAsia="en-GB"/>
                <w14:ligatures w14:val="standardContextual"/>
              </w:rPr>
              <w:tab/>
            </w:r>
            <w:r w:rsidR="00941BEF" w:rsidRPr="00BC5D15">
              <w:rPr>
                <w:rStyle w:val="Hypertextovprepojenie"/>
                <w:rFonts w:cstheme="majorHAnsi"/>
                <w:b w:val="0"/>
                <w:bCs w:val="0"/>
                <w:noProof/>
                <w:lang w:val="en-GB"/>
              </w:rPr>
              <w:t>The labour market and wages in Bulgaria</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_Toc174086654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8</w:t>
            </w:r>
            <w:r w:rsidR="00941BEF" w:rsidRPr="00BC5D15">
              <w:rPr>
                <w:b w:val="0"/>
                <w:bCs w:val="0"/>
                <w:noProof/>
                <w:webHidden/>
              </w:rPr>
              <w:fldChar w:fldCharType="end"/>
            </w:r>
          </w:hyperlink>
        </w:p>
        <w:p w14:paraId="3960B9A7" w14:textId="2C961A5E" w:rsidR="00941BEF" w:rsidRPr="00BC5D15" w:rsidRDefault="008F4AD7" w:rsidP="00755845">
          <w:pPr>
            <w:pStyle w:val="Obsah1"/>
            <w:tabs>
              <w:tab w:val="left" w:pos="660"/>
            </w:tabs>
            <w:contextualSpacing/>
            <w:rPr>
              <w:rFonts w:eastAsiaTheme="minorEastAsia" w:cstheme="minorBidi"/>
              <w:b w:val="0"/>
              <w:bCs w:val="0"/>
              <w:i w:val="0"/>
              <w:iCs w:val="0"/>
              <w:noProof/>
              <w:kern w:val="2"/>
              <w:lang w:val="aa-ET" w:eastAsia="en-GB"/>
              <w14:ligatures w14:val="standardContextual"/>
            </w:rPr>
          </w:pPr>
          <w:hyperlink w:anchor="_Toc174086655" w:history="1">
            <w:r w:rsidR="00941BEF" w:rsidRPr="00BC5D15">
              <w:rPr>
                <w:rStyle w:val="Hypertextovprepojenie"/>
                <w:rFonts w:cstheme="majorHAnsi"/>
                <w:b w:val="0"/>
                <w:bCs w:val="0"/>
                <w:noProof/>
                <w:lang w:val="en-GB"/>
              </w:rPr>
              <w:t>2.</w:t>
            </w:r>
            <w:r w:rsidR="00941BEF" w:rsidRPr="00BC5D15">
              <w:rPr>
                <w:rFonts w:eastAsiaTheme="minorEastAsia" w:cstheme="minorBidi"/>
                <w:b w:val="0"/>
                <w:bCs w:val="0"/>
                <w:i w:val="0"/>
                <w:iCs w:val="0"/>
                <w:noProof/>
                <w:kern w:val="2"/>
                <w:lang w:val="aa-ET" w:eastAsia="en-GB"/>
                <w14:ligatures w14:val="standardContextual"/>
              </w:rPr>
              <w:tab/>
            </w:r>
            <w:r w:rsidR="00941BEF" w:rsidRPr="00BC5D15">
              <w:rPr>
                <w:rStyle w:val="Hypertextovprepojenie"/>
                <w:rFonts w:cstheme="majorHAnsi"/>
                <w:b w:val="0"/>
                <w:bCs w:val="0"/>
                <w:noProof/>
                <w:lang w:val="en-GB"/>
              </w:rPr>
              <w:t xml:space="preserve">Industrial relations and collective bargaining </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_Toc174086655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10</w:t>
            </w:r>
            <w:r w:rsidR="00941BEF" w:rsidRPr="00BC5D15">
              <w:rPr>
                <w:b w:val="0"/>
                <w:bCs w:val="0"/>
                <w:noProof/>
                <w:webHidden/>
              </w:rPr>
              <w:fldChar w:fldCharType="end"/>
            </w:r>
          </w:hyperlink>
        </w:p>
        <w:p w14:paraId="4EBF022D" w14:textId="2B9C02EE" w:rsidR="00941BEF" w:rsidRPr="00BC5D15" w:rsidRDefault="008F4AD7" w:rsidP="00755845">
          <w:pPr>
            <w:pStyle w:val="Obsah2"/>
            <w:tabs>
              <w:tab w:val="left" w:pos="880"/>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56" w:history="1">
            <w:r w:rsidR="00941BEF" w:rsidRPr="00BC5D15">
              <w:rPr>
                <w:rStyle w:val="Hypertextovprepojenie"/>
                <w:b w:val="0"/>
                <w:bCs w:val="0"/>
                <w:noProof/>
                <w:lang w:val="en-GB"/>
              </w:rPr>
              <w:t>2.1</w:t>
            </w:r>
            <w:r w:rsidR="00941BEF" w:rsidRPr="00BC5D15">
              <w:rPr>
                <w:rFonts w:eastAsiaTheme="minorEastAsia" w:cstheme="minorBidi"/>
                <w:b w:val="0"/>
                <w:bCs w:val="0"/>
                <w:noProof/>
                <w:kern w:val="2"/>
                <w:sz w:val="24"/>
                <w:szCs w:val="24"/>
                <w:lang w:val="aa-ET" w:eastAsia="en-GB"/>
                <w14:ligatures w14:val="standardContextual"/>
              </w:rPr>
              <w:tab/>
            </w:r>
            <w:r w:rsidR="00941BEF" w:rsidRPr="00BC5D15">
              <w:rPr>
                <w:rStyle w:val="Hypertextovprepojenie"/>
                <w:b w:val="0"/>
                <w:bCs w:val="0"/>
                <w:noProof/>
                <w:lang w:val="en-GB"/>
              </w:rPr>
              <w:t>Trade union membership and union density</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_Toc174086656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10</w:t>
            </w:r>
            <w:r w:rsidR="00941BEF" w:rsidRPr="00BC5D15">
              <w:rPr>
                <w:b w:val="0"/>
                <w:bCs w:val="0"/>
                <w:noProof/>
                <w:webHidden/>
              </w:rPr>
              <w:fldChar w:fldCharType="end"/>
            </w:r>
          </w:hyperlink>
        </w:p>
        <w:p w14:paraId="10C34F45" w14:textId="15E0BD53" w:rsidR="00941BEF" w:rsidRPr="00BC5D15" w:rsidRDefault="008F4AD7" w:rsidP="00755845">
          <w:pPr>
            <w:pStyle w:val="Obsah2"/>
            <w:tabs>
              <w:tab w:val="left" w:pos="880"/>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57" w:history="1">
            <w:r w:rsidR="00941BEF" w:rsidRPr="00BC5D15">
              <w:rPr>
                <w:rStyle w:val="Hypertextovprepojenie"/>
                <w:b w:val="0"/>
                <w:bCs w:val="0"/>
                <w:noProof/>
                <w:lang w:val="en-GB"/>
              </w:rPr>
              <w:t>2.2</w:t>
            </w:r>
            <w:r w:rsidR="00941BEF" w:rsidRPr="00BC5D15">
              <w:rPr>
                <w:rFonts w:eastAsiaTheme="minorEastAsia" w:cstheme="minorBidi"/>
                <w:b w:val="0"/>
                <w:bCs w:val="0"/>
                <w:noProof/>
                <w:kern w:val="2"/>
                <w:sz w:val="24"/>
                <w:szCs w:val="24"/>
                <w:lang w:val="aa-ET" w:eastAsia="en-GB"/>
                <w14:ligatures w14:val="standardContextual"/>
              </w:rPr>
              <w:tab/>
            </w:r>
            <w:r w:rsidR="00941BEF" w:rsidRPr="00BC5D15">
              <w:rPr>
                <w:rStyle w:val="Hypertextovprepojenie"/>
                <w:b w:val="0"/>
                <w:bCs w:val="0"/>
                <w:noProof/>
                <w:lang w:val="en-GB"/>
              </w:rPr>
              <w:t>Collective bargaining</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_Toc174086657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11</w:t>
            </w:r>
            <w:r w:rsidR="00941BEF" w:rsidRPr="00BC5D15">
              <w:rPr>
                <w:b w:val="0"/>
                <w:bCs w:val="0"/>
                <w:noProof/>
                <w:webHidden/>
              </w:rPr>
              <w:fldChar w:fldCharType="end"/>
            </w:r>
          </w:hyperlink>
        </w:p>
        <w:p w14:paraId="2FC4B228" w14:textId="4A538FB6" w:rsidR="00941BEF" w:rsidRPr="00BC5D15" w:rsidRDefault="008F4AD7" w:rsidP="00755845">
          <w:pPr>
            <w:pStyle w:val="Obsah2"/>
            <w:tabs>
              <w:tab w:val="left" w:pos="880"/>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58" w:history="1">
            <w:r w:rsidR="00941BEF" w:rsidRPr="00BC5D15">
              <w:rPr>
                <w:rStyle w:val="Hypertextovprepojenie"/>
                <w:b w:val="0"/>
                <w:bCs w:val="0"/>
                <w:noProof/>
                <w:lang w:val="en-GB"/>
              </w:rPr>
              <w:t>2.3</w:t>
            </w:r>
            <w:r w:rsidR="00941BEF" w:rsidRPr="00BC5D15">
              <w:rPr>
                <w:rFonts w:eastAsiaTheme="minorEastAsia" w:cstheme="minorBidi"/>
                <w:b w:val="0"/>
                <w:bCs w:val="0"/>
                <w:noProof/>
                <w:kern w:val="2"/>
                <w:sz w:val="24"/>
                <w:szCs w:val="24"/>
                <w:lang w:val="aa-ET" w:eastAsia="en-GB"/>
                <w14:ligatures w14:val="standardContextual"/>
              </w:rPr>
              <w:tab/>
            </w:r>
            <w:r w:rsidR="00941BEF" w:rsidRPr="00BC5D15">
              <w:rPr>
                <w:rStyle w:val="Hypertextovprepojenie"/>
                <w:b w:val="0"/>
                <w:bCs w:val="0"/>
                <w:noProof/>
                <w:lang w:val="en-GB"/>
              </w:rPr>
              <w:t>The system of wage fixing and wage bargaining</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_Toc174086658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13</w:t>
            </w:r>
            <w:r w:rsidR="00941BEF" w:rsidRPr="00BC5D15">
              <w:rPr>
                <w:b w:val="0"/>
                <w:bCs w:val="0"/>
                <w:noProof/>
                <w:webHidden/>
              </w:rPr>
              <w:fldChar w:fldCharType="end"/>
            </w:r>
          </w:hyperlink>
        </w:p>
        <w:p w14:paraId="27F362D4" w14:textId="2C254050" w:rsidR="00941BEF" w:rsidRPr="00BC5D15" w:rsidRDefault="008F4AD7" w:rsidP="00755845">
          <w:pPr>
            <w:pStyle w:val="Obsah1"/>
            <w:tabs>
              <w:tab w:val="left" w:pos="660"/>
            </w:tabs>
            <w:contextualSpacing/>
            <w:rPr>
              <w:rFonts w:eastAsiaTheme="minorEastAsia" w:cstheme="minorBidi"/>
              <w:b w:val="0"/>
              <w:bCs w:val="0"/>
              <w:i w:val="0"/>
              <w:iCs w:val="0"/>
              <w:noProof/>
              <w:kern w:val="2"/>
              <w:lang w:val="aa-ET" w:eastAsia="en-GB"/>
              <w14:ligatures w14:val="standardContextual"/>
            </w:rPr>
          </w:pPr>
          <w:hyperlink w:anchor="_Toc174086659" w:history="1">
            <w:r w:rsidR="00941BEF" w:rsidRPr="00BC5D15">
              <w:rPr>
                <w:rStyle w:val="Hypertextovprepojenie"/>
                <w:rFonts w:cstheme="majorHAnsi"/>
                <w:b w:val="0"/>
                <w:bCs w:val="0"/>
                <w:noProof/>
                <w:lang w:val="en-GB"/>
              </w:rPr>
              <w:t>3.</w:t>
            </w:r>
            <w:r w:rsidR="00941BEF" w:rsidRPr="00BC5D15">
              <w:rPr>
                <w:rFonts w:eastAsiaTheme="minorEastAsia" w:cstheme="minorBidi"/>
                <w:b w:val="0"/>
                <w:bCs w:val="0"/>
                <w:i w:val="0"/>
                <w:iCs w:val="0"/>
                <w:noProof/>
                <w:kern w:val="2"/>
                <w:lang w:val="aa-ET" w:eastAsia="en-GB"/>
                <w14:ligatures w14:val="standardContextual"/>
              </w:rPr>
              <w:tab/>
            </w:r>
            <w:r w:rsidR="00941BEF" w:rsidRPr="00BC5D15">
              <w:rPr>
                <w:rStyle w:val="Hypertextovprepojenie"/>
                <w:rFonts w:cstheme="majorHAnsi"/>
                <w:b w:val="0"/>
                <w:bCs w:val="0"/>
                <w:noProof/>
                <w:lang w:val="en-GB"/>
              </w:rPr>
              <w:t>Predominant level of collective bargaining on wages</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_Toc174086659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14</w:t>
            </w:r>
            <w:r w:rsidR="00941BEF" w:rsidRPr="00BC5D15">
              <w:rPr>
                <w:b w:val="0"/>
                <w:bCs w:val="0"/>
                <w:noProof/>
                <w:webHidden/>
              </w:rPr>
              <w:fldChar w:fldCharType="end"/>
            </w:r>
          </w:hyperlink>
        </w:p>
        <w:p w14:paraId="3F231EA1" w14:textId="0AF1962F" w:rsidR="00941BEF" w:rsidRPr="00BC5D15" w:rsidRDefault="008F4AD7" w:rsidP="00755845">
          <w:pPr>
            <w:pStyle w:val="Obsah1"/>
            <w:tabs>
              <w:tab w:val="left" w:pos="660"/>
            </w:tabs>
            <w:contextualSpacing/>
            <w:rPr>
              <w:rFonts w:eastAsiaTheme="minorEastAsia" w:cstheme="minorBidi"/>
              <w:b w:val="0"/>
              <w:bCs w:val="0"/>
              <w:i w:val="0"/>
              <w:iCs w:val="0"/>
              <w:noProof/>
              <w:kern w:val="2"/>
              <w:lang w:val="aa-ET" w:eastAsia="en-GB"/>
              <w14:ligatures w14:val="standardContextual"/>
            </w:rPr>
          </w:pPr>
          <w:hyperlink w:anchor="_Toc174086660" w:history="1">
            <w:r w:rsidR="00941BEF" w:rsidRPr="00BC5D15">
              <w:rPr>
                <w:rStyle w:val="Hypertextovprepojenie"/>
                <w:b w:val="0"/>
                <w:bCs w:val="0"/>
                <w:noProof/>
              </w:rPr>
              <w:t>4.</w:t>
            </w:r>
            <w:r w:rsidR="00941BEF" w:rsidRPr="00BC5D15">
              <w:rPr>
                <w:rFonts w:eastAsiaTheme="minorEastAsia" w:cstheme="minorBidi"/>
                <w:b w:val="0"/>
                <w:bCs w:val="0"/>
                <w:i w:val="0"/>
                <w:iCs w:val="0"/>
                <w:noProof/>
                <w:kern w:val="2"/>
                <w:lang w:val="aa-ET" w:eastAsia="en-GB"/>
                <w14:ligatures w14:val="standardContextual"/>
              </w:rPr>
              <w:tab/>
            </w:r>
            <w:r w:rsidR="00941BEF" w:rsidRPr="00BC5D15">
              <w:rPr>
                <w:rStyle w:val="Hypertextovprepojenie"/>
                <w:b w:val="0"/>
                <w:bCs w:val="0"/>
                <w:noProof/>
              </w:rPr>
              <w:t>Sector profiles on wages and bargaining</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_Toc174086660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15</w:t>
            </w:r>
            <w:r w:rsidR="00941BEF" w:rsidRPr="00BC5D15">
              <w:rPr>
                <w:b w:val="0"/>
                <w:bCs w:val="0"/>
                <w:noProof/>
                <w:webHidden/>
              </w:rPr>
              <w:fldChar w:fldCharType="end"/>
            </w:r>
          </w:hyperlink>
        </w:p>
        <w:p w14:paraId="415AE87F" w14:textId="3F0286F8"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1" w:history="1">
            <w:r w:rsidR="00941BEF" w:rsidRPr="00BC5D15">
              <w:rPr>
                <w:rStyle w:val="Hypertextovprepojenie"/>
                <w:b w:val="0"/>
                <w:bCs w:val="0"/>
                <w:noProof/>
                <w:lang w:val="en-GB"/>
              </w:rPr>
              <w:t>4.1 Construction</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_Toc174086661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15</w:t>
            </w:r>
            <w:r w:rsidR="00941BEF" w:rsidRPr="00BC5D15">
              <w:rPr>
                <w:b w:val="0"/>
                <w:bCs w:val="0"/>
                <w:noProof/>
                <w:webHidden/>
              </w:rPr>
              <w:fldChar w:fldCharType="end"/>
            </w:r>
          </w:hyperlink>
        </w:p>
        <w:p w14:paraId="57961A17" w14:textId="396367BD"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2" w:history="1">
            <w:r w:rsidR="00941BEF" w:rsidRPr="00BC5D15">
              <w:rPr>
                <w:rStyle w:val="Hypertextovprepojenie"/>
                <w:rFonts w:cstheme="majorHAnsi"/>
                <w:b w:val="0"/>
                <w:bCs w:val="0"/>
                <w:noProof/>
                <w:lang w:val="en-GB"/>
              </w:rPr>
              <w:t>4.2 Hospitality</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_Toc174086662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16</w:t>
            </w:r>
            <w:r w:rsidR="00941BEF" w:rsidRPr="00BC5D15">
              <w:rPr>
                <w:b w:val="0"/>
                <w:bCs w:val="0"/>
                <w:noProof/>
                <w:webHidden/>
              </w:rPr>
              <w:fldChar w:fldCharType="end"/>
            </w:r>
          </w:hyperlink>
        </w:p>
        <w:p w14:paraId="3473C8E9" w14:textId="5E13396F"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3" w:history="1">
            <w:r w:rsidR="00941BEF" w:rsidRPr="00BC5D15">
              <w:rPr>
                <w:rStyle w:val="Hypertextovprepojenie"/>
                <w:rFonts w:cstheme="majorHAnsi"/>
                <w:b w:val="0"/>
                <w:bCs w:val="0"/>
                <w:noProof/>
                <w:lang w:val="en-GB"/>
              </w:rPr>
              <w:t>4.3 Urban transport</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_Toc174086663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16</w:t>
            </w:r>
            <w:r w:rsidR="00941BEF" w:rsidRPr="00BC5D15">
              <w:rPr>
                <w:b w:val="0"/>
                <w:bCs w:val="0"/>
                <w:noProof/>
                <w:webHidden/>
              </w:rPr>
              <w:fldChar w:fldCharType="end"/>
            </w:r>
          </w:hyperlink>
        </w:p>
        <w:p w14:paraId="58EF6357" w14:textId="6B15E1A7"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4" w:history="1">
            <w:r w:rsidR="00941BEF" w:rsidRPr="00BC5D15">
              <w:rPr>
                <w:rStyle w:val="Hypertextovprepojenie"/>
                <w:rFonts w:cstheme="majorHAnsi"/>
                <w:b w:val="0"/>
                <w:bCs w:val="0"/>
                <w:noProof/>
                <w:lang w:val="en-GB"/>
              </w:rPr>
              <w:t>4.4. Waste management (urban hygiene)</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_Toc174086664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17</w:t>
            </w:r>
            <w:r w:rsidR="00941BEF" w:rsidRPr="00BC5D15">
              <w:rPr>
                <w:b w:val="0"/>
                <w:bCs w:val="0"/>
                <w:noProof/>
                <w:webHidden/>
              </w:rPr>
              <w:fldChar w:fldCharType="end"/>
            </w:r>
          </w:hyperlink>
        </w:p>
        <w:p w14:paraId="72C2F27E" w14:textId="32140E79" w:rsidR="00941BEF" w:rsidRPr="00BC5D15" w:rsidRDefault="008F4AD7" w:rsidP="00755845">
          <w:pPr>
            <w:pStyle w:val="Obsah1"/>
            <w:contextualSpacing/>
            <w:rPr>
              <w:rFonts w:eastAsiaTheme="minorEastAsia" w:cstheme="minorBidi"/>
              <w:b w:val="0"/>
              <w:bCs w:val="0"/>
              <w:i w:val="0"/>
              <w:iCs w:val="0"/>
              <w:noProof/>
              <w:kern w:val="2"/>
              <w:lang w:val="aa-ET" w:eastAsia="en-GB"/>
              <w14:ligatures w14:val="standardContextual"/>
            </w:rPr>
          </w:pPr>
          <w:hyperlink w:anchor="_Toc174086665" w:history="1">
            <w:r w:rsidR="00941BEF" w:rsidRPr="00BC5D15">
              <w:rPr>
                <w:rStyle w:val="Hypertextovprepojenie"/>
                <w:b w:val="0"/>
                <w:bCs w:val="0"/>
                <w:noProof/>
                <w:lang w:val="en-GB"/>
              </w:rPr>
              <w:t>5. Relevance of bargaining arenas to realising adequate wages</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_Toc174086665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18</w:t>
            </w:r>
            <w:r w:rsidR="00941BEF" w:rsidRPr="00BC5D15">
              <w:rPr>
                <w:b w:val="0"/>
                <w:bCs w:val="0"/>
                <w:noProof/>
                <w:webHidden/>
              </w:rPr>
              <w:fldChar w:fldCharType="end"/>
            </w:r>
          </w:hyperlink>
        </w:p>
        <w:p w14:paraId="3BDDCF93" w14:textId="206A74CB"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6" w:history="1">
            <w:r w:rsidR="00941BEF" w:rsidRPr="00BC5D15">
              <w:rPr>
                <w:rStyle w:val="Hypertextovprepojenie"/>
                <w:b w:val="0"/>
                <w:bCs w:val="0"/>
                <w:noProof/>
                <w:lang w:val="en-GB"/>
              </w:rPr>
              <w:t>5.1 Construction</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_Toc174086666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18</w:t>
            </w:r>
            <w:r w:rsidR="00941BEF" w:rsidRPr="00BC5D15">
              <w:rPr>
                <w:b w:val="0"/>
                <w:bCs w:val="0"/>
                <w:noProof/>
                <w:webHidden/>
              </w:rPr>
              <w:fldChar w:fldCharType="end"/>
            </w:r>
          </w:hyperlink>
        </w:p>
        <w:p w14:paraId="4771015C" w14:textId="79673E4C"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7" w:history="1">
            <w:r w:rsidR="00941BEF" w:rsidRPr="00BC5D15">
              <w:rPr>
                <w:rStyle w:val="Hypertextovprepojenie"/>
                <w:rFonts w:cstheme="majorHAnsi"/>
                <w:b w:val="0"/>
                <w:bCs w:val="0"/>
                <w:noProof/>
                <w:lang w:val="en-GB"/>
              </w:rPr>
              <w:t>5.2 Hospitality</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_Toc174086667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19</w:t>
            </w:r>
            <w:r w:rsidR="00941BEF" w:rsidRPr="00BC5D15">
              <w:rPr>
                <w:b w:val="0"/>
                <w:bCs w:val="0"/>
                <w:noProof/>
                <w:webHidden/>
              </w:rPr>
              <w:fldChar w:fldCharType="end"/>
            </w:r>
          </w:hyperlink>
        </w:p>
        <w:p w14:paraId="554E00C9" w14:textId="5B9024C3"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8" w:history="1">
            <w:r w:rsidR="00941BEF" w:rsidRPr="00BC5D15">
              <w:rPr>
                <w:rStyle w:val="Hypertextovprepojenie"/>
                <w:rFonts w:cstheme="majorHAnsi"/>
                <w:b w:val="0"/>
                <w:bCs w:val="0"/>
                <w:noProof/>
                <w:lang w:val="en-GB"/>
              </w:rPr>
              <w:t>5.3 Urban transport</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_Toc174086668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20</w:t>
            </w:r>
            <w:r w:rsidR="00941BEF" w:rsidRPr="00BC5D15">
              <w:rPr>
                <w:b w:val="0"/>
                <w:bCs w:val="0"/>
                <w:noProof/>
                <w:webHidden/>
              </w:rPr>
              <w:fldChar w:fldCharType="end"/>
            </w:r>
          </w:hyperlink>
        </w:p>
        <w:p w14:paraId="2C80FB1C" w14:textId="66B5A686" w:rsidR="00941BEF" w:rsidRPr="00BC5D15" w:rsidRDefault="008F4AD7" w:rsidP="00755845">
          <w:pPr>
            <w:pStyle w:val="Obsah2"/>
            <w:tabs>
              <w:tab w:val="right" w:leader="dot" w:pos="9062"/>
            </w:tabs>
            <w:ind w:left="1134" w:hanging="425"/>
            <w:contextualSpacing/>
            <w:rPr>
              <w:rFonts w:eastAsiaTheme="minorEastAsia" w:cstheme="minorBidi"/>
              <w:b w:val="0"/>
              <w:bCs w:val="0"/>
              <w:noProof/>
              <w:kern w:val="2"/>
              <w:sz w:val="24"/>
              <w:szCs w:val="24"/>
              <w:lang w:val="aa-ET" w:eastAsia="en-GB"/>
              <w14:ligatures w14:val="standardContextual"/>
            </w:rPr>
          </w:pPr>
          <w:hyperlink w:anchor="_Toc174086669" w:history="1">
            <w:r w:rsidR="00941BEF" w:rsidRPr="00BC5D15">
              <w:rPr>
                <w:rStyle w:val="Hypertextovprepojenie"/>
                <w:rFonts w:cstheme="majorHAnsi"/>
                <w:b w:val="0"/>
                <w:bCs w:val="0"/>
                <w:noProof/>
                <w:lang w:val="en-GB"/>
              </w:rPr>
              <w:t>5.4 Waste management</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_Toc174086669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20</w:t>
            </w:r>
            <w:r w:rsidR="00941BEF" w:rsidRPr="00BC5D15">
              <w:rPr>
                <w:b w:val="0"/>
                <w:bCs w:val="0"/>
                <w:noProof/>
                <w:webHidden/>
              </w:rPr>
              <w:fldChar w:fldCharType="end"/>
            </w:r>
          </w:hyperlink>
        </w:p>
        <w:p w14:paraId="6B2E1DB6" w14:textId="746A628B" w:rsidR="00941BEF" w:rsidRPr="00BC5D15" w:rsidRDefault="008F4AD7" w:rsidP="00755845">
          <w:pPr>
            <w:pStyle w:val="Obsah1"/>
            <w:tabs>
              <w:tab w:val="left" w:pos="660"/>
            </w:tabs>
            <w:contextualSpacing/>
            <w:rPr>
              <w:rFonts w:eastAsiaTheme="minorEastAsia" w:cstheme="minorBidi"/>
              <w:b w:val="0"/>
              <w:bCs w:val="0"/>
              <w:i w:val="0"/>
              <w:iCs w:val="0"/>
              <w:noProof/>
              <w:kern w:val="2"/>
              <w:lang w:val="aa-ET" w:eastAsia="en-GB"/>
              <w14:ligatures w14:val="standardContextual"/>
            </w:rPr>
          </w:pPr>
          <w:hyperlink w:anchor="_Toc174086670" w:history="1">
            <w:r w:rsidR="00941BEF" w:rsidRPr="00BC5D15">
              <w:rPr>
                <w:rStyle w:val="Hypertextovprepojenie"/>
                <w:rFonts w:cstheme="majorHAnsi"/>
                <w:b w:val="0"/>
                <w:bCs w:val="0"/>
                <w:noProof/>
                <w:lang w:val="en-GB"/>
              </w:rPr>
              <w:t>6.</w:t>
            </w:r>
            <w:r w:rsidR="00941BEF" w:rsidRPr="00BC5D15">
              <w:rPr>
                <w:rFonts w:eastAsiaTheme="minorEastAsia" w:cstheme="minorBidi"/>
                <w:b w:val="0"/>
                <w:bCs w:val="0"/>
                <w:i w:val="0"/>
                <w:iCs w:val="0"/>
                <w:noProof/>
                <w:kern w:val="2"/>
                <w:lang w:val="aa-ET" w:eastAsia="en-GB"/>
                <w14:ligatures w14:val="standardContextual"/>
              </w:rPr>
              <w:tab/>
            </w:r>
            <w:r w:rsidR="00941BEF" w:rsidRPr="00BC5D15">
              <w:rPr>
                <w:rStyle w:val="Hypertextovprepojenie"/>
                <w:rFonts w:cstheme="majorHAnsi"/>
                <w:b w:val="0"/>
                <w:bCs w:val="0"/>
                <w:noProof/>
                <w:lang w:val="en-GB"/>
              </w:rPr>
              <w:t>Conclusions: Uprating of wages in a cross-sectoral view and institutional change</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_Toc174086670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22</w:t>
            </w:r>
            <w:r w:rsidR="00941BEF" w:rsidRPr="00BC5D15">
              <w:rPr>
                <w:b w:val="0"/>
                <w:bCs w:val="0"/>
                <w:noProof/>
                <w:webHidden/>
              </w:rPr>
              <w:fldChar w:fldCharType="end"/>
            </w:r>
          </w:hyperlink>
        </w:p>
        <w:p w14:paraId="6336C654" w14:textId="0CA23127" w:rsidR="00941BEF" w:rsidRPr="00BC5D15" w:rsidRDefault="008F4AD7" w:rsidP="00755845">
          <w:pPr>
            <w:pStyle w:val="Obsah1"/>
            <w:contextualSpacing/>
            <w:rPr>
              <w:rFonts w:eastAsiaTheme="minorEastAsia" w:cstheme="minorBidi"/>
              <w:b w:val="0"/>
              <w:bCs w:val="0"/>
              <w:i w:val="0"/>
              <w:iCs w:val="0"/>
              <w:noProof/>
              <w:kern w:val="2"/>
              <w:lang w:val="aa-ET" w:eastAsia="en-GB"/>
              <w14:ligatures w14:val="standardContextual"/>
            </w:rPr>
          </w:pPr>
          <w:hyperlink w:anchor="_Toc174086671" w:history="1">
            <w:r w:rsidR="00941BEF" w:rsidRPr="00BC5D15">
              <w:rPr>
                <w:rStyle w:val="Hypertextovprepojenie"/>
                <w:rFonts w:cstheme="majorHAnsi"/>
                <w:b w:val="0"/>
                <w:bCs w:val="0"/>
                <w:noProof/>
                <w:lang w:val="en-GB"/>
              </w:rPr>
              <w:t>References</w:t>
            </w:r>
            <w:r w:rsidR="00941BEF" w:rsidRPr="00BC5D15">
              <w:rPr>
                <w:b w:val="0"/>
                <w:bCs w:val="0"/>
                <w:noProof/>
                <w:webHidden/>
              </w:rPr>
              <w:tab/>
            </w:r>
            <w:r w:rsidR="00941BEF" w:rsidRPr="00BC5D15">
              <w:rPr>
                <w:b w:val="0"/>
                <w:bCs w:val="0"/>
                <w:noProof/>
                <w:webHidden/>
              </w:rPr>
              <w:fldChar w:fldCharType="begin"/>
            </w:r>
            <w:r w:rsidR="00941BEF" w:rsidRPr="00BC5D15">
              <w:rPr>
                <w:b w:val="0"/>
                <w:bCs w:val="0"/>
                <w:noProof/>
                <w:webHidden/>
              </w:rPr>
              <w:instrText xml:space="preserve"> PAGEREF _Toc174086671 \h </w:instrText>
            </w:r>
            <w:r w:rsidR="00941BEF" w:rsidRPr="00BC5D15">
              <w:rPr>
                <w:b w:val="0"/>
                <w:bCs w:val="0"/>
                <w:noProof/>
                <w:webHidden/>
              </w:rPr>
            </w:r>
            <w:r w:rsidR="00941BEF" w:rsidRPr="00BC5D15">
              <w:rPr>
                <w:b w:val="0"/>
                <w:bCs w:val="0"/>
                <w:noProof/>
                <w:webHidden/>
              </w:rPr>
              <w:fldChar w:fldCharType="separate"/>
            </w:r>
            <w:r w:rsidR="002F7CB1">
              <w:rPr>
                <w:b w:val="0"/>
                <w:bCs w:val="0"/>
                <w:noProof/>
                <w:webHidden/>
              </w:rPr>
              <w:t>24</w:t>
            </w:r>
            <w:r w:rsidR="00941BEF" w:rsidRPr="00BC5D15">
              <w:rPr>
                <w:b w:val="0"/>
                <w:bCs w:val="0"/>
                <w:noProof/>
                <w:webHidden/>
              </w:rPr>
              <w:fldChar w:fldCharType="end"/>
            </w:r>
          </w:hyperlink>
        </w:p>
        <w:p w14:paraId="2E951EA1" w14:textId="47635E0E" w:rsidR="004372F5" w:rsidRPr="00F01203" w:rsidRDefault="004372F5" w:rsidP="00755845">
          <w:pPr>
            <w:spacing w:line="360" w:lineRule="auto"/>
            <w:contextualSpacing/>
            <w:jc w:val="both"/>
            <w:rPr>
              <w:sz w:val="24"/>
              <w:szCs w:val="24"/>
              <w:lang w:val="en-GB"/>
            </w:rPr>
          </w:pPr>
          <w:r w:rsidRPr="00BC5D15">
            <w:rPr>
              <w:rFonts w:ascii="Cambria" w:hAnsi="Cambria"/>
              <w:noProof/>
              <w:sz w:val="24"/>
              <w:szCs w:val="24"/>
              <w:lang w:val="en-GB"/>
            </w:rPr>
            <w:fldChar w:fldCharType="end"/>
          </w:r>
        </w:p>
      </w:sdtContent>
    </w:sdt>
    <w:p w14:paraId="78B7CB24" w14:textId="6BA1DC6C" w:rsidR="00B518B1" w:rsidRPr="00F01203" w:rsidRDefault="004372F5" w:rsidP="00755845">
      <w:pPr>
        <w:spacing w:line="360" w:lineRule="auto"/>
        <w:contextualSpacing/>
        <w:jc w:val="both"/>
        <w:rPr>
          <w:sz w:val="24"/>
          <w:szCs w:val="24"/>
          <w:lang w:val="en-GB"/>
        </w:rPr>
      </w:pPr>
      <w:r w:rsidRPr="00F01203">
        <w:rPr>
          <w:sz w:val="24"/>
          <w:szCs w:val="24"/>
          <w:lang w:val="en-GB"/>
        </w:rPr>
        <w:br w:type="page"/>
      </w:r>
      <w:bookmarkStart w:id="19" w:name="_GoBack"/>
      <w:bookmarkEnd w:id="19"/>
    </w:p>
    <w:p w14:paraId="55B40765" w14:textId="1C188255" w:rsidR="004372F5" w:rsidRPr="00F37909" w:rsidRDefault="004372F5" w:rsidP="00755845">
      <w:pPr>
        <w:pStyle w:val="Nadpis1"/>
        <w:spacing w:line="360" w:lineRule="auto"/>
        <w:contextualSpacing/>
        <w:jc w:val="both"/>
        <w:rPr>
          <w:szCs w:val="24"/>
          <w:lang w:val="en-GB"/>
        </w:rPr>
      </w:pPr>
      <w:bookmarkStart w:id="20" w:name="_Toc174086653"/>
      <w:r w:rsidRPr="009F0436">
        <w:rPr>
          <w:szCs w:val="24"/>
          <w:lang w:val="en-GB"/>
        </w:rPr>
        <w:lastRenderedPageBreak/>
        <w:t>Introduction</w:t>
      </w:r>
      <w:bookmarkEnd w:id="20"/>
    </w:p>
    <w:p w14:paraId="17780029" w14:textId="369BE23B" w:rsidR="000E2955" w:rsidRPr="00203B80" w:rsidRDefault="000E2955" w:rsidP="00755845">
      <w:pPr>
        <w:spacing w:line="360" w:lineRule="auto"/>
        <w:ind w:firstLine="708"/>
        <w:contextualSpacing/>
        <w:jc w:val="both"/>
        <w:rPr>
          <w:rFonts w:cstheme="minorHAnsi"/>
          <w:sz w:val="24"/>
          <w:szCs w:val="24"/>
          <w:lang w:val="en-GB"/>
        </w:rPr>
      </w:pPr>
      <w:r w:rsidRPr="0011716C">
        <w:rPr>
          <w:rFonts w:cstheme="minorHAnsi"/>
          <w:sz w:val="24"/>
          <w:szCs w:val="24"/>
          <w:lang w:val="en-GB"/>
        </w:rPr>
        <w:t>Wage setting belongs to core issues in collective bargaining (CB)</w:t>
      </w:r>
      <w:r w:rsidR="000F1451" w:rsidRPr="00203B80">
        <w:rPr>
          <w:rFonts w:cstheme="minorHAnsi"/>
          <w:sz w:val="24"/>
          <w:szCs w:val="24"/>
          <w:lang w:val="en-GB"/>
        </w:rPr>
        <w:t xml:space="preserve">. As part of the </w:t>
      </w:r>
      <w:r w:rsidRPr="00203B80">
        <w:rPr>
          <w:rFonts w:cstheme="minorHAnsi"/>
          <w:sz w:val="24"/>
          <w:szCs w:val="24"/>
          <w:lang w:val="en-GB"/>
        </w:rPr>
        <w:t>BARWAGE project</w:t>
      </w:r>
      <w:r w:rsidR="000F1451" w:rsidRPr="00203B80">
        <w:rPr>
          <w:rFonts w:cstheme="minorHAnsi"/>
          <w:sz w:val="24"/>
          <w:szCs w:val="24"/>
          <w:lang w:val="en-GB"/>
        </w:rPr>
        <w:t>,</w:t>
      </w:r>
      <w:r w:rsidR="000F1451" w:rsidRPr="0011716C">
        <w:rPr>
          <w:rStyle w:val="Odkaznapoznmkupodiarou"/>
          <w:rFonts w:cstheme="minorHAnsi"/>
          <w:sz w:val="24"/>
          <w:szCs w:val="24"/>
          <w:lang w:val="en-GB"/>
        </w:rPr>
        <w:footnoteReference w:id="2"/>
      </w:r>
      <w:r w:rsidR="000F1451" w:rsidRPr="0011716C">
        <w:rPr>
          <w:rFonts w:cstheme="minorHAnsi"/>
          <w:sz w:val="24"/>
          <w:szCs w:val="24"/>
          <w:lang w:val="en-GB"/>
        </w:rPr>
        <w:t xml:space="preserve"> this report</w:t>
      </w:r>
      <w:r w:rsidRPr="0011716C">
        <w:rPr>
          <w:rFonts w:cstheme="minorHAnsi"/>
          <w:sz w:val="24"/>
          <w:szCs w:val="24"/>
          <w:lang w:val="en-GB"/>
        </w:rPr>
        <w:t xml:space="preserve"> seeks to shed more light </w:t>
      </w:r>
      <w:r w:rsidRPr="00203B80">
        <w:rPr>
          <w:rFonts w:cstheme="minorHAnsi"/>
          <w:sz w:val="24"/>
          <w:szCs w:val="24"/>
          <w:lang w:val="en-GB"/>
        </w:rPr>
        <w:t xml:space="preserve">on the wage setting </w:t>
      </w:r>
      <w:r w:rsidR="000F1451" w:rsidRPr="00203B80">
        <w:rPr>
          <w:rFonts w:cstheme="minorHAnsi"/>
          <w:sz w:val="24"/>
          <w:szCs w:val="24"/>
          <w:lang w:val="en-GB"/>
        </w:rPr>
        <w:t xml:space="preserve">processes in Bulgaria. Besides general country-level wage setting </w:t>
      </w:r>
      <w:r w:rsidR="00EB6A71" w:rsidRPr="00203B80">
        <w:rPr>
          <w:rFonts w:cstheme="minorHAnsi"/>
          <w:sz w:val="24"/>
          <w:szCs w:val="24"/>
          <w:lang w:val="en-GB"/>
        </w:rPr>
        <w:t>institutions</w:t>
      </w:r>
      <w:r w:rsidR="000F1451" w:rsidRPr="00203B80">
        <w:rPr>
          <w:rFonts w:cstheme="minorHAnsi"/>
          <w:sz w:val="24"/>
          <w:szCs w:val="24"/>
          <w:lang w:val="en-GB"/>
        </w:rPr>
        <w:t>, the report focuses on four sectors wit</w:t>
      </w:r>
      <w:r w:rsidR="00822C12" w:rsidRPr="00203B80">
        <w:rPr>
          <w:rFonts w:cstheme="minorHAnsi"/>
          <w:sz w:val="24"/>
          <w:szCs w:val="24"/>
          <w:lang w:val="en-GB"/>
        </w:rPr>
        <w:t>h incidence of low-wage work to</w:t>
      </w:r>
      <w:r w:rsidR="00462EA8" w:rsidRPr="00203B80">
        <w:rPr>
          <w:rFonts w:cstheme="minorHAnsi"/>
          <w:sz w:val="24"/>
          <w:szCs w:val="24"/>
          <w:lang w:val="en-GB"/>
        </w:rPr>
        <w:t xml:space="preserve"> analyse</w:t>
      </w:r>
      <w:r w:rsidR="000F1451" w:rsidRPr="00203B80">
        <w:rPr>
          <w:rFonts w:cstheme="minorHAnsi"/>
          <w:sz w:val="24"/>
          <w:szCs w:val="24"/>
          <w:lang w:val="en-GB"/>
        </w:rPr>
        <w:t xml:space="preserve"> the levels at which the workers’ wages and their components are negotiated. The report aims </w:t>
      </w:r>
      <w:r w:rsidR="00606E7A">
        <w:rPr>
          <w:rFonts w:cstheme="minorHAnsi"/>
          <w:sz w:val="24"/>
          <w:szCs w:val="24"/>
          <w:lang w:val="en-GB"/>
        </w:rPr>
        <w:t>to understand</w:t>
      </w:r>
      <w:r w:rsidR="000F1451" w:rsidRPr="00203B80">
        <w:rPr>
          <w:rFonts w:cstheme="minorHAnsi"/>
          <w:sz w:val="24"/>
          <w:szCs w:val="24"/>
          <w:lang w:val="en-GB"/>
        </w:rPr>
        <w:t xml:space="preserve"> </w:t>
      </w:r>
      <w:r w:rsidRPr="00203B80">
        <w:rPr>
          <w:rFonts w:cstheme="minorHAnsi"/>
          <w:sz w:val="24"/>
          <w:szCs w:val="24"/>
          <w:lang w:val="en-GB"/>
        </w:rPr>
        <w:t xml:space="preserve">how exactly </w:t>
      </w:r>
      <w:r w:rsidR="00606E7A">
        <w:rPr>
          <w:rFonts w:cstheme="minorHAnsi"/>
          <w:sz w:val="24"/>
          <w:szCs w:val="24"/>
          <w:lang w:val="en-GB"/>
        </w:rPr>
        <w:t xml:space="preserve">wage </w:t>
      </w:r>
      <w:r w:rsidR="000F1451" w:rsidRPr="00203B80">
        <w:rPr>
          <w:rFonts w:cstheme="minorHAnsi"/>
          <w:sz w:val="24"/>
          <w:szCs w:val="24"/>
          <w:lang w:val="en-GB"/>
        </w:rPr>
        <w:t xml:space="preserve">setting </w:t>
      </w:r>
      <w:r w:rsidR="00606E7A">
        <w:rPr>
          <w:rFonts w:cstheme="minorHAnsi"/>
          <w:sz w:val="24"/>
          <w:szCs w:val="24"/>
          <w:lang w:val="en-GB"/>
        </w:rPr>
        <w:t>occurs</w:t>
      </w:r>
      <w:r w:rsidRPr="00203B80">
        <w:rPr>
          <w:rFonts w:cstheme="minorHAnsi"/>
          <w:sz w:val="24"/>
          <w:szCs w:val="24"/>
          <w:lang w:val="en-GB"/>
        </w:rPr>
        <w:t>, which actors are involved, what is the starting point of this process and where does it lead to in terms of institutional stability or change</w:t>
      </w:r>
      <w:r w:rsidR="00606E7A">
        <w:rPr>
          <w:rFonts w:cstheme="minorHAnsi"/>
          <w:sz w:val="24"/>
          <w:szCs w:val="24"/>
          <w:lang w:val="en-GB"/>
        </w:rPr>
        <w:t xml:space="preserve"> in</w:t>
      </w:r>
      <w:r w:rsidR="000F1451" w:rsidRPr="00203B80">
        <w:rPr>
          <w:rFonts w:cstheme="minorHAnsi"/>
          <w:sz w:val="24"/>
          <w:szCs w:val="24"/>
          <w:lang w:val="en-GB"/>
        </w:rPr>
        <w:t xml:space="preserve"> the wage setting institutions</w:t>
      </w:r>
      <w:r w:rsidRPr="00203B80">
        <w:rPr>
          <w:rFonts w:cstheme="minorHAnsi"/>
          <w:sz w:val="24"/>
          <w:szCs w:val="24"/>
          <w:lang w:val="en-GB"/>
        </w:rPr>
        <w:t xml:space="preserve">. </w:t>
      </w:r>
    </w:p>
    <w:p w14:paraId="71AAF1EB" w14:textId="4ED9BCF6" w:rsidR="000E2955" w:rsidRPr="00203B80" w:rsidRDefault="000F1451" w:rsidP="00755845">
      <w:pPr>
        <w:spacing w:line="360" w:lineRule="auto"/>
        <w:ind w:firstLine="708"/>
        <w:contextualSpacing/>
        <w:jc w:val="both"/>
        <w:rPr>
          <w:rFonts w:cstheme="minorHAnsi"/>
          <w:sz w:val="24"/>
          <w:szCs w:val="24"/>
          <w:lang w:val="en-GB"/>
        </w:rPr>
      </w:pPr>
      <w:r w:rsidRPr="00203B80">
        <w:rPr>
          <w:rFonts w:cstheme="minorHAnsi"/>
          <w:sz w:val="24"/>
          <w:szCs w:val="24"/>
          <w:lang w:val="en-GB"/>
        </w:rPr>
        <w:t>The broader context for the report is questioning h</w:t>
      </w:r>
      <w:r w:rsidR="000E2955" w:rsidRPr="00203B80">
        <w:rPr>
          <w:rFonts w:cstheme="minorHAnsi"/>
          <w:sz w:val="24"/>
          <w:szCs w:val="24"/>
          <w:lang w:val="en-GB"/>
        </w:rPr>
        <w:t xml:space="preserve">ow </w:t>
      </w:r>
      <w:r w:rsidR="001C3500" w:rsidRPr="00203B80">
        <w:rPr>
          <w:rFonts w:cstheme="minorHAnsi"/>
          <w:sz w:val="24"/>
          <w:szCs w:val="24"/>
          <w:lang w:val="en-GB"/>
        </w:rPr>
        <w:t>collective wage</w:t>
      </w:r>
      <w:r w:rsidR="000E2955" w:rsidRPr="00203B80">
        <w:rPr>
          <w:rFonts w:cstheme="minorHAnsi"/>
          <w:sz w:val="24"/>
          <w:szCs w:val="24"/>
          <w:lang w:val="en-GB"/>
        </w:rPr>
        <w:t xml:space="preserve"> setting </w:t>
      </w:r>
      <w:r w:rsidRPr="00203B80">
        <w:rPr>
          <w:rFonts w:cstheme="minorHAnsi"/>
          <w:sz w:val="24"/>
          <w:szCs w:val="24"/>
          <w:lang w:val="en-GB"/>
        </w:rPr>
        <w:t xml:space="preserve">in Europe </w:t>
      </w:r>
      <w:r w:rsidR="00822C12" w:rsidRPr="00203B80">
        <w:rPr>
          <w:rFonts w:cstheme="minorHAnsi"/>
          <w:sz w:val="24"/>
          <w:szCs w:val="24"/>
          <w:lang w:val="en-GB"/>
        </w:rPr>
        <w:t>is changing or shifting</w:t>
      </w:r>
      <w:r w:rsidR="000E2955" w:rsidRPr="00203B80">
        <w:rPr>
          <w:rFonts w:cstheme="minorHAnsi"/>
          <w:sz w:val="24"/>
          <w:szCs w:val="24"/>
          <w:lang w:val="en-GB"/>
        </w:rPr>
        <w:t xml:space="preserve"> towards more individualized/discretionary</w:t>
      </w:r>
      <w:r w:rsidR="00606E7A">
        <w:rPr>
          <w:rFonts w:cstheme="minorHAnsi"/>
          <w:sz w:val="24"/>
          <w:szCs w:val="24"/>
          <w:lang w:val="en-GB"/>
        </w:rPr>
        <w:t xml:space="preserve"> wage setting mechanisms; how</w:t>
      </w:r>
      <w:r w:rsidR="0085787A">
        <w:rPr>
          <w:rFonts w:cstheme="minorHAnsi"/>
          <w:sz w:val="24"/>
          <w:szCs w:val="24"/>
          <w:lang w:val="en-GB"/>
        </w:rPr>
        <w:t xml:space="preserve"> </w:t>
      </w:r>
      <w:r w:rsidR="000E2955" w:rsidRPr="00203B80">
        <w:rPr>
          <w:rFonts w:cstheme="minorHAnsi"/>
          <w:sz w:val="24"/>
          <w:szCs w:val="24"/>
          <w:lang w:val="en-GB"/>
        </w:rPr>
        <w:t>collective and individual wage setting co-exist and interact with each other, and whether discretion over wage setting is undergoing a shift</w:t>
      </w:r>
      <w:r w:rsidRPr="00203B80">
        <w:rPr>
          <w:rFonts w:cstheme="minorHAnsi"/>
          <w:sz w:val="24"/>
          <w:szCs w:val="24"/>
          <w:lang w:val="en-GB"/>
        </w:rPr>
        <w:t>,</w:t>
      </w:r>
      <w:r w:rsidR="000E2955" w:rsidRPr="00203B80">
        <w:rPr>
          <w:rFonts w:cstheme="minorHAnsi"/>
          <w:sz w:val="24"/>
          <w:szCs w:val="24"/>
          <w:lang w:val="en-GB"/>
        </w:rPr>
        <w:t xml:space="preserve"> e.g.</w:t>
      </w:r>
      <w:r w:rsidR="00606E7A">
        <w:rPr>
          <w:rFonts w:cstheme="minorHAnsi"/>
          <w:sz w:val="24"/>
          <w:szCs w:val="24"/>
          <w:lang w:val="en-GB"/>
        </w:rPr>
        <w:t>,</w:t>
      </w:r>
      <w:r w:rsidR="000E2955" w:rsidRPr="00203B80">
        <w:rPr>
          <w:rFonts w:cstheme="minorHAnsi"/>
          <w:sz w:val="24"/>
          <w:szCs w:val="24"/>
          <w:lang w:val="en-GB"/>
        </w:rPr>
        <w:t xml:space="preserve"> from collective to more individual discretion of employers and the worker</w:t>
      </w:r>
      <w:r w:rsidR="0051782A">
        <w:rPr>
          <w:rFonts w:cstheme="minorHAnsi"/>
          <w:sz w:val="24"/>
          <w:szCs w:val="24"/>
          <w:lang w:val="en-GB"/>
        </w:rPr>
        <w:t>s</w:t>
      </w:r>
      <w:r w:rsidR="000E2955" w:rsidRPr="00203B80">
        <w:rPr>
          <w:rFonts w:cstheme="minorHAnsi"/>
          <w:sz w:val="24"/>
          <w:szCs w:val="24"/>
          <w:lang w:val="en-GB"/>
        </w:rPr>
        <w:t xml:space="preserve">. </w:t>
      </w:r>
    </w:p>
    <w:p w14:paraId="460FBA15" w14:textId="48594165" w:rsidR="000E2955" w:rsidRPr="00203B80" w:rsidRDefault="000F1451" w:rsidP="00606E7A">
      <w:pPr>
        <w:spacing w:line="360" w:lineRule="auto"/>
        <w:ind w:firstLine="708"/>
        <w:contextualSpacing/>
        <w:jc w:val="both"/>
        <w:rPr>
          <w:rFonts w:cstheme="minorHAnsi"/>
          <w:sz w:val="24"/>
          <w:szCs w:val="24"/>
          <w:lang w:val="en-GB"/>
        </w:rPr>
      </w:pPr>
      <w:r w:rsidRPr="00203B80">
        <w:rPr>
          <w:rFonts w:cstheme="minorHAnsi"/>
          <w:sz w:val="24"/>
          <w:szCs w:val="24"/>
          <w:lang w:val="en-GB"/>
        </w:rPr>
        <w:t xml:space="preserve">The following wage setting </w:t>
      </w:r>
      <w:r w:rsidR="000E2955" w:rsidRPr="00203B80">
        <w:rPr>
          <w:rFonts w:cstheme="minorHAnsi"/>
          <w:sz w:val="24"/>
          <w:szCs w:val="24"/>
          <w:lang w:val="en-GB"/>
        </w:rPr>
        <w:t xml:space="preserve">levels/arenas are </w:t>
      </w:r>
      <w:r w:rsidRPr="00203B80">
        <w:rPr>
          <w:rFonts w:cstheme="minorHAnsi"/>
          <w:sz w:val="24"/>
          <w:szCs w:val="24"/>
          <w:lang w:val="en-GB"/>
        </w:rPr>
        <w:t>considered in the current report:</w:t>
      </w:r>
    </w:p>
    <w:p w14:paraId="64629F41" w14:textId="77777777" w:rsidR="000E2955" w:rsidRPr="00203B80" w:rsidRDefault="000E2955" w:rsidP="00755845">
      <w:pPr>
        <w:pStyle w:val="Odsekzoznamu"/>
        <w:numPr>
          <w:ilvl w:val="0"/>
          <w:numId w:val="19"/>
        </w:numPr>
        <w:spacing w:line="360" w:lineRule="auto"/>
        <w:jc w:val="both"/>
        <w:rPr>
          <w:rFonts w:cstheme="minorHAnsi"/>
          <w:sz w:val="24"/>
          <w:szCs w:val="24"/>
          <w:lang w:val="en-GB"/>
        </w:rPr>
      </w:pPr>
      <w:r w:rsidRPr="00203B80">
        <w:rPr>
          <w:rFonts w:cstheme="minorHAnsi"/>
          <w:sz w:val="24"/>
          <w:szCs w:val="24"/>
          <w:lang w:val="en-GB"/>
        </w:rPr>
        <w:t>Wage setting regulation – legislative regulatory tools (e.g., law on minimum wage)</w:t>
      </w:r>
    </w:p>
    <w:p w14:paraId="36846278" w14:textId="77777777" w:rsidR="000E2955" w:rsidRPr="00203B80" w:rsidRDefault="000E2955" w:rsidP="00755845">
      <w:pPr>
        <w:pStyle w:val="Odsekzoznamu"/>
        <w:numPr>
          <w:ilvl w:val="0"/>
          <w:numId w:val="19"/>
        </w:numPr>
        <w:spacing w:line="360" w:lineRule="auto"/>
        <w:jc w:val="both"/>
        <w:rPr>
          <w:rFonts w:cstheme="minorHAnsi"/>
          <w:sz w:val="24"/>
          <w:szCs w:val="24"/>
          <w:lang w:val="en-GB"/>
        </w:rPr>
      </w:pPr>
      <w:r w:rsidRPr="00203B80">
        <w:rPr>
          <w:rFonts w:cstheme="minorHAnsi"/>
          <w:sz w:val="24"/>
          <w:szCs w:val="24"/>
          <w:lang w:val="en-GB"/>
        </w:rPr>
        <w:t>Collective and solidaristic wage setting for a broader labour market segment – collective wage bargaining (at various levels, e.g., sectoral or regional)</w:t>
      </w:r>
    </w:p>
    <w:p w14:paraId="0FC277FA" w14:textId="77777777" w:rsidR="000E2955" w:rsidRPr="00203B80" w:rsidRDefault="000E2955" w:rsidP="00755845">
      <w:pPr>
        <w:pStyle w:val="Odsekzoznamu"/>
        <w:numPr>
          <w:ilvl w:val="0"/>
          <w:numId w:val="19"/>
        </w:numPr>
        <w:spacing w:line="360" w:lineRule="auto"/>
        <w:jc w:val="both"/>
        <w:rPr>
          <w:rFonts w:cstheme="minorHAnsi"/>
          <w:sz w:val="24"/>
          <w:szCs w:val="24"/>
          <w:lang w:val="en-GB"/>
        </w:rPr>
      </w:pPr>
      <w:r w:rsidRPr="00203B80">
        <w:rPr>
          <w:rFonts w:cstheme="minorHAnsi"/>
          <w:sz w:val="24"/>
          <w:szCs w:val="24"/>
          <w:lang w:val="en-GB"/>
        </w:rPr>
        <w:t>Collective wage setting with greater employer discretion – wage bargaining at the company level (yet still with organized interest representatives on the workers’ side)</w:t>
      </w:r>
    </w:p>
    <w:p w14:paraId="4D7FB452" w14:textId="77777777" w:rsidR="00606E7A" w:rsidRDefault="000E2955" w:rsidP="00606E7A">
      <w:pPr>
        <w:pStyle w:val="Odsekzoznamu"/>
        <w:numPr>
          <w:ilvl w:val="0"/>
          <w:numId w:val="19"/>
        </w:numPr>
        <w:spacing w:line="360" w:lineRule="auto"/>
        <w:jc w:val="both"/>
        <w:rPr>
          <w:rFonts w:cstheme="minorHAnsi"/>
          <w:sz w:val="24"/>
          <w:szCs w:val="24"/>
          <w:lang w:val="en-GB"/>
        </w:rPr>
      </w:pPr>
      <w:r w:rsidRPr="00203B80">
        <w:rPr>
          <w:rFonts w:cstheme="minorHAnsi"/>
          <w:sz w:val="24"/>
          <w:szCs w:val="24"/>
          <w:lang w:val="en-GB"/>
        </w:rPr>
        <w:t>Individualized wage setting – with the highest discretion of the employer over determining wages</w:t>
      </w:r>
    </w:p>
    <w:p w14:paraId="0AD92345" w14:textId="77777777" w:rsidR="00606E7A" w:rsidRDefault="000F1451" w:rsidP="00606E7A">
      <w:pPr>
        <w:pStyle w:val="Zarkazkladnhotextu"/>
        <w:tabs>
          <w:tab w:val="clear" w:pos="5070"/>
        </w:tabs>
      </w:pPr>
      <w:r w:rsidRPr="00606E7A">
        <w:t>The report is structured to provide general information about the Bulgarian labour market, wage developments and wage setting, follow</w:t>
      </w:r>
      <w:r w:rsidR="00EF7F96" w:rsidRPr="00606E7A">
        <w:t>ed</w:t>
      </w:r>
      <w:r w:rsidRPr="00606E7A">
        <w:t xml:space="preserve"> by an insight into sectoral specificities before the conclusions. </w:t>
      </w:r>
    </w:p>
    <w:p w14:paraId="695D3FE6" w14:textId="415BE63C" w:rsidR="00DF1D56" w:rsidRPr="00203B80" w:rsidRDefault="00DF1D56" w:rsidP="00606E7A">
      <w:pPr>
        <w:pStyle w:val="Zarkazkladnhotextu"/>
        <w:tabs>
          <w:tab w:val="clear" w:pos="5070"/>
        </w:tabs>
      </w:pPr>
      <w:r w:rsidRPr="00203B80">
        <w:t>This report is based on desk research and semi-structured research interviews with stakeholders in Bulgaria</w:t>
      </w:r>
      <w:r w:rsidRPr="0011716C">
        <w:t xml:space="preserve">. </w:t>
      </w:r>
      <w:r w:rsidR="00606E7A">
        <w:t>Desk research relied</w:t>
      </w:r>
      <w:r w:rsidR="00822C12" w:rsidRPr="0011716C">
        <w:t xml:space="preserve"> largely on English-language </w:t>
      </w:r>
      <w:proofErr w:type="spellStart"/>
      <w:r w:rsidR="00822C12" w:rsidRPr="0011716C">
        <w:t>Eurofound</w:t>
      </w:r>
      <w:proofErr w:type="spellEnd"/>
      <w:r w:rsidR="00822C12" w:rsidRPr="0011716C">
        <w:t xml:space="preserve"> reports </w:t>
      </w:r>
      <w:r w:rsidR="00A978F8" w:rsidRPr="00203B80">
        <w:t>providing detailed information about</w:t>
      </w:r>
      <w:r w:rsidR="00822C12" w:rsidRPr="00203B80">
        <w:t xml:space="preserve"> specific industries, wage setting </w:t>
      </w:r>
      <w:r w:rsidR="00A978F8" w:rsidRPr="00203B80">
        <w:t xml:space="preserve">mechanisms </w:t>
      </w:r>
      <w:r w:rsidR="00822C12" w:rsidRPr="00203B80">
        <w:t xml:space="preserve">and </w:t>
      </w:r>
      <w:r w:rsidR="00822C12" w:rsidRPr="00203B80">
        <w:lastRenderedPageBreak/>
        <w:t>collective bargaining</w:t>
      </w:r>
      <w:r w:rsidR="00A978F8" w:rsidRPr="00203B80">
        <w:t>,</w:t>
      </w:r>
      <w:r w:rsidR="00822C12" w:rsidRPr="00203B80">
        <w:t xml:space="preserve"> and available academic literature and research on social relations in Bulgaria. </w:t>
      </w:r>
      <w:r w:rsidRPr="00203B80">
        <w:t>All</w:t>
      </w:r>
      <w:r w:rsidR="00203B80" w:rsidRPr="00203B80">
        <w:t xml:space="preserve"> individual</w:t>
      </w:r>
      <w:r w:rsidRPr="00203B80">
        <w:t xml:space="preserve"> interviews were conducted online in English and later transcribed using the </w:t>
      </w:r>
      <w:proofErr w:type="spellStart"/>
      <w:r w:rsidRPr="00203B80">
        <w:t>Sonix</w:t>
      </w:r>
      <w:proofErr w:type="spellEnd"/>
      <w:r w:rsidRPr="00203B80">
        <w:t xml:space="preserve"> software. Both trade union representatives and employer representatives of the four main research sectors – construction, hospitality, urban transport and waste management or employers</w:t>
      </w:r>
      <w:r w:rsidR="00606E7A">
        <w:t>,</w:t>
      </w:r>
      <w:r w:rsidRPr="00203B80">
        <w:t xml:space="preserve"> in case there were no relevant trade union or employer organizations</w:t>
      </w:r>
      <w:r w:rsidR="00606E7A">
        <w:t>,</w:t>
      </w:r>
      <w:r w:rsidR="00EF7F96" w:rsidRPr="00203B80">
        <w:t xml:space="preserve"> were contacted for the interview</w:t>
      </w:r>
      <w:r w:rsidR="00883102" w:rsidRPr="00203B80">
        <w:t>.</w:t>
      </w:r>
      <w:r w:rsidR="00EF7F96" w:rsidRPr="00203B80">
        <w:t xml:space="preserve"> </w:t>
      </w:r>
      <w:r w:rsidR="00883102" w:rsidRPr="00203B80">
        <w:t>Nevertheless</w:t>
      </w:r>
      <w:r w:rsidR="00EF7F96" w:rsidRPr="00203B80">
        <w:t xml:space="preserve"> the employer organizations representatives did not take the opportunity to provide us with information on wage setting from their perspective</w:t>
      </w:r>
      <w:r w:rsidRPr="00203B80">
        <w:t xml:space="preserve">. </w:t>
      </w:r>
      <w:r w:rsidR="00EF7F96" w:rsidRPr="00203B80">
        <w:t xml:space="preserve">However, the interviewed industrial relations expert provided complex information. </w:t>
      </w:r>
    </w:p>
    <w:p w14:paraId="396958F6" w14:textId="5808998B" w:rsidR="00DF1D56" w:rsidRPr="00BC52FC" w:rsidRDefault="00DF1D56" w:rsidP="00755845">
      <w:pPr>
        <w:spacing w:line="360" w:lineRule="auto"/>
        <w:contextualSpacing/>
        <w:jc w:val="both"/>
        <w:rPr>
          <w:rFonts w:cstheme="minorHAnsi"/>
          <w:color w:val="0070C0"/>
          <w:sz w:val="24"/>
          <w:szCs w:val="24"/>
          <w:lang w:val="en-GB"/>
        </w:rPr>
      </w:pPr>
      <w:r w:rsidRPr="00BC52FC">
        <w:rPr>
          <w:rFonts w:cstheme="minorHAnsi"/>
          <w:color w:val="0070C0"/>
          <w:sz w:val="24"/>
          <w:szCs w:val="24"/>
          <w:lang w:val="en-GB"/>
        </w:rPr>
        <w:t xml:space="preserve">Table 1. Detailed information on interview respondents </w:t>
      </w:r>
    </w:p>
    <w:tbl>
      <w:tblPr>
        <w:tblStyle w:val="Mriekatabuky"/>
        <w:tblW w:w="9298" w:type="dxa"/>
        <w:tblLook w:val="04A0" w:firstRow="1" w:lastRow="0" w:firstColumn="1" w:lastColumn="0" w:noHBand="0" w:noVBand="1"/>
      </w:tblPr>
      <w:tblGrid>
        <w:gridCol w:w="2265"/>
        <w:gridCol w:w="2692"/>
        <w:gridCol w:w="2075"/>
        <w:gridCol w:w="2266"/>
      </w:tblGrid>
      <w:tr w:rsidR="00DF1D56" w:rsidRPr="00203B80" w14:paraId="5859F7D0" w14:textId="77777777" w:rsidTr="000238BD">
        <w:tc>
          <w:tcPr>
            <w:tcW w:w="2265" w:type="dxa"/>
          </w:tcPr>
          <w:p w14:paraId="7B49E78C" w14:textId="21C308C7" w:rsidR="00DF1D56" w:rsidRPr="00F01203" w:rsidRDefault="00DF1D56" w:rsidP="00755845">
            <w:pPr>
              <w:contextualSpacing/>
              <w:jc w:val="both"/>
              <w:rPr>
                <w:rFonts w:cstheme="minorHAnsi"/>
                <w:b/>
                <w:sz w:val="24"/>
                <w:szCs w:val="24"/>
                <w:lang w:val="en-GB"/>
              </w:rPr>
            </w:pPr>
            <w:r w:rsidRPr="00F01203">
              <w:rPr>
                <w:rFonts w:cstheme="minorHAnsi"/>
                <w:b/>
                <w:sz w:val="24"/>
                <w:szCs w:val="24"/>
                <w:lang w:val="en-GB"/>
              </w:rPr>
              <w:t>Interview number</w:t>
            </w:r>
          </w:p>
        </w:tc>
        <w:tc>
          <w:tcPr>
            <w:tcW w:w="2692" w:type="dxa"/>
          </w:tcPr>
          <w:p w14:paraId="5D44E3E3" w14:textId="43D66889" w:rsidR="00DF1D56" w:rsidRPr="00F01203" w:rsidRDefault="00DF1D56" w:rsidP="00755845">
            <w:pPr>
              <w:contextualSpacing/>
              <w:jc w:val="both"/>
              <w:rPr>
                <w:rFonts w:cstheme="minorHAnsi"/>
                <w:b/>
                <w:sz w:val="24"/>
                <w:szCs w:val="24"/>
                <w:lang w:val="en-GB"/>
              </w:rPr>
            </w:pPr>
            <w:r w:rsidRPr="00F01203">
              <w:rPr>
                <w:rFonts w:cstheme="minorHAnsi"/>
                <w:b/>
                <w:sz w:val="24"/>
                <w:szCs w:val="24"/>
                <w:lang w:val="en-GB"/>
              </w:rPr>
              <w:t>Institution</w:t>
            </w:r>
          </w:p>
        </w:tc>
        <w:tc>
          <w:tcPr>
            <w:tcW w:w="2075" w:type="dxa"/>
          </w:tcPr>
          <w:p w14:paraId="36E76963" w14:textId="10D876B3" w:rsidR="00DF1D56" w:rsidRPr="00F01203" w:rsidRDefault="00DF1D56" w:rsidP="00755845">
            <w:pPr>
              <w:contextualSpacing/>
              <w:jc w:val="both"/>
              <w:rPr>
                <w:rFonts w:cstheme="minorHAnsi"/>
                <w:b/>
                <w:sz w:val="24"/>
                <w:szCs w:val="24"/>
                <w:lang w:val="en-GB"/>
              </w:rPr>
            </w:pPr>
            <w:r w:rsidRPr="00F01203">
              <w:rPr>
                <w:rFonts w:cstheme="minorHAnsi"/>
                <w:b/>
                <w:sz w:val="24"/>
                <w:szCs w:val="24"/>
                <w:lang w:val="en-GB"/>
              </w:rPr>
              <w:t>Position</w:t>
            </w:r>
          </w:p>
        </w:tc>
        <w:tc>
          <w:tcPr>
            <w:tcW w:w="2266" w:type="dxa"/>
          </w:tcPr>
          <w:p w14:paraId="66C2C059" w14:textId="6C0A7CA9" w:rsidR="00DF1D56" w:rsidRPr="00F01203" w:rsidRDefault="00DF1D56" w:rsidP="00755845">
            <w:pPr>
              <w:contextualSpacing/>
              <w:jc w:val="both"/>
              <w:rPr>
                <w:rFonts w:cstheme="minorHAnsi"/>
                <w:b/>
                <w:sz w:val="24"/>
                <w:szCs w:val="24"/>
                <w:lang w:val="en-GB"/>
              </w:rPr>
            </w:pPr>
            <w:r w:rsidRPr="00F01203">
              <w:rPr>
                <w:rFonts w:cstheme="minorHAnsi"/>
                <w:b/>
                <w:sz w:val="24"/>
                <w:szCs w:val="24"/>
                <w:lang w:val="en-GB"/>
              </w:rPr>
              <w:t xml:space="preserve">Date </w:t>
            </w:r>
          </w:p>
        </w:tc>
      </w:tr>
      <w:tr w:rsidR="00DF1D56" w:rsidRPr="00203B80" w14:paraId="77A64631" w14:textId="77777777" w:rsidTr="000238BD">
        <w:tc>
          <w:tcPr>
            <w:tcW w:w="2265" w:type="dxa"/>
          </w:tcPr>
          <w:p w14:paraId="0E84CC78" w14:textId="4158DBBC" w:rsidR="00DF1D56" w:rsidRPr="00F01203" w:rsidRDefault="00DF1D56" w:rsidP="00755845">
            <w:pPr>
              <w:contextualSpacing/>
              <w:jc w:val="both"/>
              <w:rPr>
                <w:rFonts w:cstheme="minorHAnsi"/>
                <w:sz w:val="24"/>
                <w:szCs w:val="24"/>
                <w:lang w:val="en-GB"/>
              </w:rPr>
            </w:pPr>
            <w:r w:rsidRPr="00F01203">
              <w:rPr>
                <w:rFonts w:cstheme="minorHAnsi"/>
                <w:sz w:val="24"/>
                <w:szCs w:val="24"/>
                <w:lang w:val="en-GB"/>
              </w:rPr>
              <w:t>BG01</w:t>
            </w:r>
          </w:p>
        </w:tc>
        <w:tc>
          <w:tcPr>
            <w:tcW w:w="2692" w:type="dxa"/>
          </w:tcPr>
          <w:p w14:paraId="17A4CC45" w14:textId="306A8E99"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Institute for the Study of Societies and Knowledge, Bulgarian Academy of Sciences</w:t>
            </w:r>
          </w:p>
        </w:tc>
        <w:tc>
          <w:tcPr>
            <w:tcW w:w="2075" w:type="dxa"/>
          </w:tcPr>
          <w:p w14:paraId="283D4125" w14:textId="3E67FBF1"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Senior Researcher</w:t>
            </w:r>
          </w:p>
        </w:tc>
        <w:tc>
          <w:tcPr>
            <w:tcW w:w="2266" w:type="dxa"/>
          </w:tcPr>
          <w:p w14:paraId="50F8E642" w14:textId="4B48C791"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May 10, 2024</w:t>
            </w:r>
          </w:p>
        </w:tc>
      </w:tr>
      <w:tr w:rsidR="00DF1D56" w:rsidRPr="00203B80" w14:paraId="286257B7" w14:textId="77777777" w:rsidTr="000238BD">
        <w:tc>
          <w:tcPr>
            <w:tcW w:w="2265" w:type="dxa"/>
          </w:tcPr>
          <w:p w14:paraId="40DFCC4C" w14:textId="6015D9FE" w:rsidR="00DF1D56" w:rsidRPr="00F01203" w:rsidRDefault="00DF1D56" w:rsidP="00755845">
            <w:pPr>
              <w:contextualSpacing/>
              <w:jc w:val="both"/>
              <w:rPr>
                <w:rFonts w:cstheme="minorHAnsi"/>
                <w:sz w:val="24"/>
                <w:szCs w:val="24"/>
                <w:lang w:val="en-GB"/>
              </w:rPr>
            </w:pPr>
            <w:r w:rsidRPr="00F01203">
              <w:rPr>
                <w:rFonts w:cstheme="minorHAnsi"/>
                <w:sz w:val="24"/>
                <w:szCs w:val="24"/>
                <w:lang w:val="en-GB"/>
              </w:rPr>
              <w:t>BG02</w:t>
            </w:r>
          </w:p>
        </w:tc>
        <w:tc>
          <w:tcPr>
            <w:tcW w:w="2692" w:type="dxa"/>
          </w:tcPr>
          <w:p w14:paraId="64AD5B3F" w14:textId="1D0ED4A5"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Confederation of independent trade unions in Bulgaria (CITUB)</w:t>
            </w:r>
          </w:p>
        </w:tc>
        <w:tc>
          <w:tcPr>
            <w:tcW w:w="2075" w:type="dxa"/>
          </w:tcPr>
          <w:p w14:paraId="69925F58" w14:textId="7A572C36"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Senior experts</w:t>
            </w:r>
          </w:p>
        </w:tc>
        <w:tc>
          <w:tcPr>
            <w:tcW w:w="2266" w:type="dxa"/>
          </w:tcPr>
          <w:p w14:paraId="2F609C8B" w14:textId="4EDFEB9F"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May 20, 2024</w:t>
            </w:r>
          </w:p>
        </w:tc>
      </w:tr>
      <w:tr w:rsidR="00DF1D56" w:rsidRPr="00203B80" w14:paraId="513998E6" w14:textId="77777777" w:rsidTr="000238BD">
        <w:tc>
          <w:tcPr>
            <w:tcW w:w="2265" w:type="dxa"/>
          </w:tcPr>
          <w:p w14:paraId="5FCBCB70" w14:textId="5E5005E0" w:rsidR="00DF1D56" w:rsidRPr="00F01203" w:rsidRDefault="00DF1D56" w:rsidP="00755845">
            <w:pPr>
              <w:contextualSpacing/>
              <w:jc w:val="both"/>
              <w:rPr>
                <w:rFonts w:cstheme="minorHAnsi"/>
                <w:sz w:val="24"/>
                <w:szCs w:val="24"/>
                <w:lang w:val="en-GB"/>
              </w:rPr>
            </w:pPr>
            <w:r w:rsidRPr="00F01203">
              <w:rPr>
                <w:rFonts w:cstheme="minorHAnsi"/>
                <w:sz w:val="24"/>
                <w:szCs w:val="24"/>
                <w:lang w:val="en-GB"/>
              </w:rPr>
              <w:t>BG03</w:t>
            </w:r>
          </w:p>
        </w:tc>
        <w:tc>
          <w:tcPr>
            <w:tcW w:w="2692" w:type="dxa"/>
          </w:tcPr>
          <w:p w14:paraId="28487E3A" w14:textId="664825A0"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The Federation of Independent Trade Unions in Construction in Bulgaria (FITUC)</w:t>
            </w:r>
          </w:p>
        </w:tc>
        <w:tc>
          <w:tcPr>
            <w:tcW w:w="2075" w:type="dxa"/>
          </w:tcPr>
          <w:p w14:paraId="001F3830" w14:textId="38A4CB21"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 xml:space="preserve"> Senior Official</w:t>
            </w:r>
          </w:p>
        </w:tc>
        <w:tc>
          <w:tcPr>
            <w:tcW w:w="2266" w:type="dxa"/>
          </w:tcPr>
          <w:p w14:paraId="48BB36FE" w14:textId="21554A4B"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May 17, 2024</w:t>
            </w:r>
          </w:p>
        </w:tc>
      </w:tr>
      <w:tr w:rsidR="00DF1D56" w:rsidRPr="00203B80" w14:paraId="026655C0" w14:textId="77777777" w:rsidTr="000238BD">
        <w:tc>
          <w:tcPr>
            <w:tcW w:w="2265" w:type="dxa"/>
          </w:tcPr>
          <w:p w14:paraId="29AB83A0" w14:textId="3CCE5F55" w:rsidR="00DF1D56" w:rsidRPr="00F01203" w:rsidRDefault="00DF1D56" w:rsidP="00755845">
            <w:pPr>
              <w:contextualSpacing/>
              <w:jc w:val="both"/>
              <w:rPr>
                <w:rFonts w:cstheme="minorHAnsi"/>
                <w:sz w:val="24"/>
                <w:szCs w:val="24"/>
                <w:lang w:val="en-GB"/>
              </w:rPr>
            </w:pPr>
            <w:r w:rsidRPr="00F01203">
              <w:rPr>
                <w:rFonts w:cstheme="minorHAnsi"/>
                <w:sz w:val="24"/>
                <w:szCs w:val="24"/>
                <w:lang w:val="en-GB"/>
              </w:rPr>
              <w:t>BG04</w:t>
            </w:r>
          </w:p>
        </w:tc>
        <w:tc>
          <w:tcPr>
            <w:tcW w:w="2692" w:type="dxa"/>
          </w:tcPr>
          <w:p w14:paraId="33E56353" w14:textId="6A45F966"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Federation of Transport Trade Unions (FTTU) at CITUB</w:t>
            </w:r>
          </w:p>
        </w:tc>
        <w:tc>
          <w:tcPr>
            <w:tcW w:w="2075" w:type="dxa"/>
          </w:tcPr>
          <w:p w14:paraId="02202499" w14:textId="1E7B1041" w:rsidR="00DF1D56" w:rsidRPr="00F01203" w:rsidRDefault="00084093" w:rsidP="00755845">
            <w:pPr>
              <w:contextualSpacing/>
              <w:jc w:val="both"/>
              <w:rPr>
                <w:rFonts w:cstheme="minorHAnsi"/>
                <w:sz w:val="24"/>
                <w:szCs w:val="24"/>
                <w:lang w:val="en-GB"/>
              </w:rPr>
            </w:pPr>
            <w:r w:rsidRPr="00F01203">
              <w:rPr>
                <w:rFonts w:cstheme="minorHAnsi"/>
                <w:sz w:val="24"/>
                <w:szCs w:val="24"/>
                <w:lang w:val="en-GB"/>
              </w:rPr>
              <w:t>Federation Chairman</w:t>
            </w:r>
          </w:p>
        </w:tc>
        <w:tc>
          <w:tcPr>
            <w:tcW w:w="2266" w:type="dxa"/>
          </w:tcPr>
          <w:p w14:paraId="2628B2F6" w14:textId="081B3A1A" w:rsidR="00DF1D56" w:rsidRPr="00F01203" w:rsidRDefault="00CD74C8" w:rsidP="00755845">
            <w:pPr>
              <w:contextualSpacing/>
              <w:jc w:val="both"/>
              <w:rPr>
                <w:rFonts w:cstheme="minorHAnsi"/>
                <w:sz w:val="24"/>
                <w:szCs w:val="24"/>
                <w:lang w:val="en-GB"/>
              </w:rPr>
            </w:pPr>
            <w:r w:rsidRPr="00F01203">
              <w:rPr>
                <w:rFonts w:cstheme="minorHAnsi"/>
                <w:sz w:val="24"/>
                <w:szCs w:val="24"/>
                <w:lang w:val="en-GB"/>
              </w:rPr>
              <w:t>May 20, 2024</w:t>
            </w:r>
          </w:p>
        </w:tc>
      </w:tr>
      <w:tr w:rsidR="00DF1D56" w:rsidRPr="00203B80" w14:paraId="54D8FA98" w14:textId="77777777" w:rsidTr="000238BD">
        <w:tc>
          <w:tcPr>
            <w:tcW w:w="2265" w:type="dxa"/>
          </w:tcPr>
          <w:p w14:paraId="15F31426" w14:textId="37CCFD15" w:rsidR="00DF1D56" w:rsidRPr="00F01203" w:rsidRDefault="00DF1D56" w:rsidP="00755845">
            <w:pPr>
              <w:contextualSpacing/>
              <w:jc w:val="both"/>
              <w:rPr>
                <w:rFonts w:cstheme="minorHAnsi"/>
                <w:sz w:val="24"/>
                <w:szCs w:val="24"/>
                <w:lang w:val="en-GB"/>
              </w:rPr>
            </w:pPr>
            <w:r w:rsidRPr="00F01203">
              <w:rPr>
                <w:rFonts w:cstheme="minorHAnsi"/>
                <w:sz w:val="24"/>
                <w:szCs w:val="24"/>
                <w:lang w:val="en-GB"/>
              </w:rPr>
              <w:t>BG05</w:t>
            </w:r>
          </w:p>
        </w:tc>
        <w:tc>
          <w:tcPr>
            <w:tcW w:w="2692" w:type="dxa"/>
          </w:tcPr>
          <w:p w14:paraId="2958A396" w14:textId="553D40A5" w:rsidR="00DF1D56" w:rsidRPr="00F01203" w:rsidRDefault="00084093" w:rsidP="00755845">
            <w:pPr>
              <w:contextualSpacing/>
              <w:jc w:val="both"/>
              <w:rPr>
                <w:rFonts w:cstheme="minorHAnsi"/>
                <w:sz w:val="24"/>
                <w:szCs w:val="24"/>
                <w:lang w:val="en-GB"/>
              </w:rPr>
            </w:pPr>
            <w:r w:rsidRPr="00F01203">
              <w:rPr>
                <w:rFonts w:cstheme="minorHAnsi"/>
                <w:sz w:val="24"/>
                <w:szCs w:val="24"/>
                <w:lang w:val="en-GB"/>
              </w:rPr>
              <w:t>The Confederation of Labour PODKREPA</w:t>
            </w:r>
          </w:p>
        </w:tc>
        <w:tc>
          <w:tcPr>
            <w:tcW w:w="2075" w:type="dxa"/>
          </w:tcPr>
          <w:p w14:paraId="48888AA8" w14:textId="2738EEA5" w:rsidR="00DF1D56" w:rsidRPr="00F01203" w:rsidRDefault="00084093" w:rsidP="00755845">
            <w:pPr>
              <w:contextualSpacing/>
              <w:jc w:val="both"/>
              <w:rPr>
                <w:rFonts w:cstheme="minorHAnsi"/>
                <w:sz w:val="24"/>
                <w:szCs w:val="24"/>
                <w:lang w:val="en-GB"/>
              </w:rPr>
            </w:pPr>
            <w:r w:rsidRPr="00F01203">
              <w:rPr>
                <w:rFonts w:cstheme="minorHAnsi"/>
                <w:sz w:val="24"/>
                <w:szCs w:val="24"/>
                <w:lang w:val="en-GB"/>
              </w:rPr>
              <w:t xml:space="preserve">Senior Economic Advisor </w:t>
            </w:r>
          </w:p>
        </w:tc>
        <w:tc>
          <w:tcPr>
            <w:tcW w:w="2266" w:type="dxa"/>
          </w:tcPr>
          <w:p w14:paraId="393C2EB7" w14:textId="7053B8D4" w:rsidR="00DF1D56" w:rsidRPr="00F01203" w:rsidRDefault="00084093" w:rsidP="00755845">
            <w:pPr>
              <w:contextualSpacing/>
              <w:jc w:val="both"/>
              <w:rPr>
                <w:rFonts w:cstheme="minorHAnsi"/>
                <w:sz w:val="24"/>
                <w:szCs w:val="24"/>
                <w:lang w:val="en-GB"/>
              </w:rPr>
            </w:pPr>
            <w:r w:rsidRPr="00F01203">
              <w:rPr>
                <w:rFonts w:cstheme="minorHAnsi"/>
                <w:sz w:val="24"/>
                <w:szCs w:val="24"/>
                <w:lang w:val="en-GB"/>
              </w:rPr>
              <w:t>May 27, 2024</w:t>
            </w:r>
          </w:p>
        </w:tc>
      </w:tr>
    </w:tbl>
    <w:p w14:paraId="223E3477" w14:textId="67D17C35" w:rsidR="00BC52FC" w:rsidRDefault="00BC52FC" w:rsidP="00755845">
      <w:pPr>
        <w:spacing w:line="360" w:lineRule="auto"/>
        <w:contextualSpacing/>
        <w:jc w:val="both"/>
        <w:rPr>
          <w:rFonts w:cstheme="minorHAnsi"/>
          <w:sz w:val="24"/>
          <w:szCs w:val="24"/>
          <w:lang w:val="en-GB"/>
        </w:rPr>
      </w:pPr>
    </w:p>
    <w:p w14:paraId="6A96DF7C" w14:textId="77777777" w:rsidR="00BC52FC" w:rsidRDefault="00BC52FC" w:rsidP="00755845">
      <w:pPr>
        <w:contextualSpacing/>
        <w:rPr>
          <w:rFonts w:cstheme="minorHAnsi"/>
          <w:sz w:val="24"/>
          <w:szCs w:val="24"/>
          <w:lang w:val="en-GB"/>
        </w:rPr>
      </w:pPr>
      <w:r>
        <w:rPr>
          <w:rFonts w:cstheme="minorHAnsi"/>
          <w:sz w:val="24"/>
          <w:szCs w:val="24"/>
          <w:lang w:val="en-GB"/>
        </w:rPr>
        <w:br w:type="page"/>
      </w:r>
    </w:p>
    <w:p w14:paraId="54E8368B" w14:textId="03C20D34" w:rsidR="00992574" w:rsidRPr="00F37909" w:rsidRDefault="004C7221" w:rsidP="00755845">
      <w:pPr>
        <w:pStyle w:val="Nadpis1"/>
        <w:numPr>
          <w:ilvl w:val="0"/>
          <w:numId w:val="14"/>
        </w:numPr>
        <w:spacing w:line="360" w:lineRule="auto"/>
        <w:contextualSpacing/>
        <w:jc w:val="both"/>
        <w:rPr>
          <w:rFonts w:cstheme="majorHAnsi"/>
          <w:szCs w:val="24"/>
          <w:lang w:val="en-GB"/>
        </w:rPr>
      </w:pPr>
      <w:bookmarkStart w:id="21" w:name="_Toc174086654"/>
      <w:r w:rsidRPr="00F01203">
        <w:rPr>
          <w:rFonts w:cstheme="majorHAnsi"/>
          <w:szCs w:val="24"/>
          <w:lang w:val="en-GB"/>
        </w:rPr>
        <w:lastRenderedPageBreak/>
        <w:t>The labour market and wages in Bulgaria</w:t>
      </w:r>
      <w:bookmarkEnd w:id="21"/>
    </w:p>
    <w:p w14:paraId="7459310C" w14:textId="09781215" w:rsidR="00992574" w:rsidRPr="0011716C" w:rsidRDefault="00992574" w:rsidP="00755845">
      <w:pPr>
        <w:spacing w:line="360" w:lineRule="auto"/>
        <w:ind w:firstLine="709"/>
        <w:contextualSpacing/>
        <w:jc w:val="both"/>
        <w:rPr>
          <w:rFonts w:cstheme="minorHAnsi"/>
          <w:sz w:val="24"/>
          <w:szCs w:val="24"/>
          <w:lang w:val="en-GB"/>
        </w:rPr>
      </w:pPr>
      <w:r w:rsidRPr="0011716C">
        <w:rPr>
          <w:rFonts w:cstheme="minorHAnsi"/>
          <w:sz w:val="24"/>
          <w:szCs w:val="24"/>
          <w:lang w:val="en-GB"/>
        </w:rPr>
        <w:t>B</w:t>
      </w:r>
      <w:r w:rsidR="00CB6023">
        <w:rPr>
          <w:rFonts w:cstheme="minorHAnsi"/>
          <w:sz w:val="24"/>
          <w:szCs w:val="24"/>
          <w:lang w:val="en-GB"/>
        </w:rPr>
        <w:t>ulgaria has a population of 6.</w:t>
      </w:r>
      <w:r w:rsidRPr="0011716C">
        <w:rPr>
          <w:rFonts w:cstheme="minorHAnsi"/>
          <w:sz w:val="24"/>
          <w:szCs w:val="24"/>
          <w:lang w:val="en-GB"/>
        </w:rPr>
        <w:t>4 million people as of 2023. Bulgaria has in 2007 joined the European Union, underscoring its transformation from a centrally planned economy</w:t>
      </w:r>
      <w:r w:rsidRPr="009F0436">
        <w:rPr>
          <w:rFonts w:cstheme="minorHAnsi"/>
          <w:sz w:val="24"/>
          <w:szCs w:val="24"/>
          <w:lang w:val="en-GB"/>
        </w:rPr>
        <w:t xml:space="preserve"> into an open market economy. </w:t>
      </w:r>
      <w:r w:rsidRPr="00035240">
        <w:rPr>
          <w:rFonts w:cstheme="minorHAnsi"/>
          <w:sz w:val="24"/>
          <w:szCs w:val="24"/>
          <w:lang w:val="en-GB"/>
        </w:rPr>
        <w:t>In 2023 the growth of GDP declined to 1</w:t>
      </w:r>
      <w:proofErr w:type="gramStart"/>
      <w:r w:rsidRPr="00035240">
        <w:rPr>
          <w:rFonts w:cstheme="minorHAnsi"/>
          <w:sz w:val="24"/>
          <w:szCs w:val="24"/>
          <w:lang w:val="en-GB"/>
        </w:rPr>
        <w:t>,8</w:t>
      </w:r>
      <w:proofErr w:type="gramEnd"/>
      <w:r w:rsidRPr="00F01203">
        <w:rPr>
          <w:rFonts w:cstheme="minorHAnsi"/>
          <w:sz w:val="24"/>
          <w:szCs w:val="24"/>
          <w:lang w:val="en-GB"/>
        </w:rPr>
        <w:t>%</w:t>
      </w:r>
      <w:r w:rsidR="000467C3" w:rsidRPr="00F01203">
        <w:rPr>
          <w:rFonts w:cstheme="minorHAnsi"/>
          <w:sz w:val="24"/>
          <w:szCs w:val="24"/>
          <w:lang w:val="en-GB"/>
        </w:rPr>
        <w:t xml:space="preserve"> and the unemployment rate was</w:t>
      </w:r>
      <w:r w:rsidRPr="00F01203">
        <w:rPr>
          <w:rFonts w:cstheme="minorHAnsi"/>
          <w:sz w:val="24"/>
          <w:szCs w:val="24"/>
          <w:lang w:val="en-GB"/>
        </w:rPr>
        <w:t xml:space="preserve"> 4,3%.</w:t>
      </w:r>
      <w:r w:rsidR="00192F2A" w:rsidRPr="0011716C">
        <w:rPr>
          <w:rStyle w:val="Odkaznapoznmkupodiarou"/>
          <w:rFonts w:cstheme="minorHAnsi"/>
          <w:sz w:val="24"/>
          <w:szCs w:val="24"/>
          <w:lang w:val="en-GB"/>
        </w:rPr>
        <w:footnoteReference w:id="3"/>
      </w:r>
      <w:r w:rsidRPr="00F01203">
        <w:rPr>
          <w:rFonts w:cstheme="minorHAnsi"/>
          <w:sz w:val="24"/>
          <w:szCs w:val="24"/>
          <w:lang w:val="en-GB"/>
        </w:rPr>
        <w:t xml:space="preserve"> </w:t>
      </w:r>
      <w:r w:rsidR="000467C3" w:rsidRPr="00F01203">
        <w:rPr>
          <w:rFonts w:cstheme="minorHAnsi"/>
          <w:sz w:val="24"/>
          <w:szCs w:val="24"/>
          <w:lang w:val="en-GB"/>
        </w:rPr>
        <w:t xml:space="preserve">Bulgaria remains one of the poorest EU countries, exacerbated by a number of recent global crises, such as the COVID-19 pandemic, war in Ukraine, or the financial debt crises, which impact </w:t>
      </w:r>
      <w:r w:rsidR="00AB5F4D" w:rsidRPr="00F01203">
        <w:rPr>
          <w:rFonts w:cstheme="minorHAnsi"/>
          <w:sz w:val="24"/>
          <w:szCs w:val="24"/>
          <w:lang w:val="en-GB"/>
        </w:rPr>
        <w:t>the national economy, but also foreign investments, trade and supply chains</w:t>
      </w:r>
      <w:r w:rsidR="000467C3" w:rsidRPr="00F01203">
        <w:rPr>
          <w:rFonts w:cstheme="minorHAnsi"/>
          <w:sz w:val="24"/>
          <w:szCs w:val="24"/>
          <w:lang w:val="en-GB"/>
        </w:rPr>
        <w:t xml:space="preserve">. </w:t>
      </w:r>
      <w:r w:rsidR="00AB5F4D" w:rsidRPr="00F01203">
        <w:rPr>
          <w:rFonts w:cstheme="minorHAnsi"/>
          <w:sz w:val="24"/>
          <w:szCs w:val="24"/>
          <w:lang w:val="en-GB"/>
        </w:rPr>
        <w:t>In 2022, the purchasing power parity convergence reached 62% of the average GDP per capita in Europe.</w:t>
      </w:r>
      <w:r w:rsidR="00192F2A" w:rsidRPr="00F01203">
        <w:rPr>
          <w:rStyle w:val="Odkaznapoznmkupodiarou"/>
          <w:rFonts w:cstheme="minorHAnsi"/>
          <w:sz w:val="24"/>
          <w:szCs w:val="24"/>
          <w:lang w:val="en-GB"/>
        </w:rPr>
        <w:footnoteReference w:id="4"/>
      </w:r>
      <w:r w:rsidR="00AB5F4D" w:rsidRPr="00F01203">
        <w:rPr>
          <w:rFonts w:cstheme="minorHAnsi"/>
          <w:sz w:val="24"/>
          <w:szCs w:val="24"/>
          <w:lang w:val="en-GB"/>
        </w:rPr>
        <w:t xml:space="preserve"> </w:t>
      </w:r>
    </w:p>
    <w:p w14:paraId="35B05BEB" w14:textId="512DBE4A" w:rsidR="00FC7DAA" w:rsidRPr="0011716C" w:rsidRDefault="004C7221" w:rsidP="00755845">
      <w:pPr>
        <w:spacing w:line="360" w:lineRule="auto"/>
        <w:ind w:firstLine="708"/>
        <w:contextualSpacing/>
        <w:jc w:val="both"/>
        <w:rPr>
          <w:rFonts w:cstheme="minorHAnsi"/>
          <w:sz w:val="24"/>
          <w:szCs w:val="24"/>
          <w:lang w:val="en-GB"/>
        </w:rPr>
      </w:pPr>
      <w:r w:rsidRPr="0011716C">
        <w:rPr>
          <w:rFonts w:cstheme="minorHAnsi"/>
          <w:sz w:val="24"/>
          <w:szCs w:val="24"/>
          <w:lang w:val="en-GB"/>
        </w:rPr>
        <w:t>Bulgaria has the lowest wages and labour costs from the EU 27 countries. According to the data from</w:t>
      </w:r>
      <w:r w:rsidRPr="00203B80">
        <w:rPr>
          <w:rFonts w:cstheme="minorHAnsi"/>
          <w:sz w:val="24"/>
          <w:szCs w:val="24"/>
          <w:lang w:val="en-GB"/>
        </w:rPr>
        <w:t xml:space="preserve"> the Ministry of Labour and the Social Policy, in the third quarter of 2023, the average monthly wage in Bulgaria was 2000 BGN</w:t>
      </w:r>
      <w:r w:rsidRPr="0011716C">
        <w:rPr>
          <w:rStyle w:val="Odkaznapoznmkupodiarou"/>
          <w:rFonts w:cstheme="minorHAnsi"/>
          <w:sz w:val="24"/>
          <w:szCs w:val="24"/>
          <w:lang w:val="en-GB"/>
        </w:rPr>
        <w:footnoteReference w:id="5"/>
      </w:r>
      <w:r w:rsidRPr="0011716C">
        <w:rPr>
          <w:rFonts w:cstheme="minorHAnsi"/>
          <w:sz w:val="24"/>
          <w:szCs w:val="24"/>
          <w:lang w:val="en-GB"/>
        </w:rPr>
        <w:t xml:space="preserve"> (</w:t>
      </w:r>
      <w:r w:rsidRPr="0011716C">
        <w:rPr>
          <w:rFonts w:cstheme="minorHAnsi"/>
          <w:bCs/>
          <w:sz w:val="24"/>
          <w:szCs w:val="24"/>
          <w:lang w:val="en-GB"/>
        </w:rPr>
        <w:t>1022,58 EUR)</w:t>
      </w:r>
      <w:r w:rsidRPr="00203B80">
        <w:rPr>
          <w:rFonts w:cstheme="minorHAnsi"/>
          <w:sz w:val="24"/>
          <w:szCs w:val="24"/>
          <w:lang w:val="en-GB"/>
        </w:rPr>
        <w:t>, corresponding to an annual increase of around 14.7%. Bulgaria has high regional differences in average salaries, in the capital of Sofia, the average monthly salary in the third quarter of 2023 was 2722 BGN</w:t>
      </w:r>
      <w:r w:rsidR="008761AA" w:rsidRPr="00203B80">
        <w:rPr>
          <w:rFonts w:cstheme="minorHAnsi"/>
          <w:sz w:val="24"/>
          <w:szCs w:val="24"/>
          <w:lang w:val="en-GB"/>
        </w:rPr>
        <w:t xml:space="preserve"> (1392 EUR)</w:t>
      </w:r>
      <w:r w:rsidRPr="00203B80">
        <w:rPr>
          <w:rFonts w:cstheme="minorHAnsi"/>
          <w:sz w:val="24"/>
          <w:szCs w:val="24"/>
          <w:lang w:val="en-GB"/>
        </w:rPr>
        <w:t>, which is 36.1% higher than the national average</w:t>
      </w:r>
      <w:r w:rsidRPr="0011716C">
        <w:rPr>
          <w:rStyle w:val="Odkaznapoznmkupodiarou"/>
          <w:rFonts w:cstheme="minorHAnsi"/>
          <w:sz w:val="24"/>
          <w:szCs w:val="24"/>
          <w:lang w:val="en-GB"/>
        </w:rPr>
        <w:footnoteReference w:id="6"/>
      </w:r>
      <w:r w:rsidRPr="0011716C">
        <w:rPr>
          <w:rFonts w:cstheme="minorHAnsi"/>
          <w:sz w:val="24"/>
          <w:szCs w:val="24"/>
          <w:lang w:val="en-GB"/>
        </w:rPr>
        <w:t>. As of January 1</w:t>
      </w:r>
      <w:r w:rsidRPr="0011716C">
        <w:rPr>
          <w:rFonts w:cstheme="minorHAnsi"/>
          <w:sz w:val="24"/>
          <w:szCs w:val="24"/>
          <w:vertAlign w:val="superscript"/>
          <w:lang w:val="en-GB"/>
        </w:rPr>
        <w:t>st</w:t>
      </w:r>
      <w:r w:rsidRPr="00203B80">
        <w:rPr>
          <w:rFonts w:cstheme="minorHAnsi"/>
          <w:sz w:val="24"/>
          <w:szCs w:val="24"/>
          <w:lang w:val="en-GB"/>
        </w:rPr>
        <w:t>, 2024, Bulgaria has increased the minimum wage to 933 BGN</w:t>
      </w:r>
      <w:r w:rsidR="008761AA" w:rsidRPr="00203B80">
        <w:rPr>
          <w:rFonts w:cstheme="minorHAnsi"/>
          <w:sz w:val="24"/>
          <w:szCs w:val="24"/>
          <w:lang w:val="en-GB"/>
        </w:rPr>
        <w:t xml:space="preserve"> (477 EUR)</w:t>
      </w:r>
      <w:r w:rsidRPr="00203B80">
        <w:rPr>
          <w:rFonts w:cstheme="minorHAnsi"/>
          <w:sz w:val="24"/>
          <w:szCs w:val="24"/>
          <w:lang w:val="en-GB"/>
        </w:rPr>
        <w:t>, an increase from 780 BGN</w:t>
      </w:r>
      <w:r w:rsidR="008761AA" w:rsidRPr="00203B80">
        <w:rPr>
          <w:rFonts w:cstheme="minorHAnsi"/>
          <w:sz w:val="24"/>
          <w:szCs w:val="24"/>
          <w:lang w:val="en-GB"/>
        </w:rPr>
        <w:t xml:space="preserve"> (399 EUR)</w:t>
      </w:r>
      <w:r w:rsidRPr="00203B80">
        <w:rPr>
          <w:rFonts w:cstheme="minorHAnsi"/>
          <w:sz w:val="24"/>
          <w:szCs w:val="24"/>
          <w:lang w:val="en-GB"/>
        </w:rPr>
        <w:t xml:space="preserve"> which was the minimum wage from January 1</w:t>
      </w:r>
      <w:r w:rsidRPr="00203B80">
        <w:rPr>
          <w:rFonts w:cstheme="minorHAnsi"/>
          <w:sz w:val="24"/>
          <w:szCs w:val="24"/>
          <w:vertAlign w:val="superscript"/>
          <w:lang w:val="en-GB"/>
        </w:rPr>
        <w:t>st</w:t>
      </w:r>
      <w:r w:rsidR="00522D35" w:rsidRPr="00203B80">
        <w:rPr>
          <w:rFonts w:cstheme="minorHAnsi"/>
          <w:sz w:val="24"/>
          <w:szCs w:val="24"/>
          <w:lang w:val="en-GB"/>
        </w:rPr>
        <w:t xml:space="preserve">, </w:t>
      </w:r>
      <w:r w:rsidRPr="00203B80">
        <w:rPr>
          <w:rFonts w:cstheme="minorHAnsi"/>
          <w:sz w:val="24"/>
          <w:szCs w:val="24"/>
          <w:lang w:val="en-GB"/>
        </w:rPr>
        <w:t>2023 (</w:t>
      </w:r>
      <w:proofErr w:type="spellStart"/>
      <w:r w:rsidRPr="00203B80">
        <w:rPr>
          <w:rFonts w:cstheme="minorHAnsi"/>
          <w:sz w:val="24"/>
          <w:szCs w:val="24"/>
          <w:lang w:val="en-GB"/>
        </w:rPr>
        <w:t>WageIndicator</w:t>
      </w:r>
      <w:proofErr w:type="spellEnd"/>
      <w:r w:rsidRPr="00203B80">
        <w:rPr>
          <w:rFonts w:cstheme="minorHAnsi"/>
          <w:sz w:val="24"/>
          <w:szCs w:val="24"/>
          <w:lang w:val="en-GB"/>
        </w:rPr>
        <w:t>). In the years 2015-2020 the annual growth of the median income was 8%.</w:t>
      </w:r>
      <w:r w:rsidRPr="0011716C">
        <w:rPr>
          <w:rStyle w:val="Odkaznapoznmkupodiarou"/>
          <w:rFonts w:cstheme="minorHAnsi"/>
          <w:sz w:val="24"/>
          <w:szCs w:val="24"/>
          <w:lang w:val="en-GB"/>
        </w:rPr>
        <w:footnoteReference w:id="7"/>
      </w:r>
      <w:r w:rsidR="007D5DEA" w:rsidRPr="0011716C">
        <w:rPr>
          <w:rFonts w:cstheme="minorHAnsi"/>
          <w:sz w:val="24"/>
          <w:szCs w:val="24"/>
          <w:lang w:val="en-GB"/>
        </w:rPr>
        <w:t xml:space="preserve"> </w:t>
      </w:r>
      <w:r w:rsidRPr="0011716C">
        <w:rPr>
          <w:rFonts w:cstheme="minorHAnsi"/>
          <w:sz w:val="24"/>
          <w:szCs w:val="24"/>
          <w:lang w:val="en-GB"/>
        </w:rPr>
        <w:t xml:space="preserve">Bulgaria consistently experiences a moderately high level of income inequality and belongs to </w:t>
      </w:r>
      <w:r w:rsidRPr="00203B80">
        <w:rPr>
          <w:rFonts w:cstheme="minorHAnsi"/>
          <w:sz w:val="24"/>
          <w:szCs w:val="24"/>
          <w:lang w:val="en-GB"/>
        </w:rPr>
        <w:t xml:space="preserve">the most unequal countries in the European Union, in terms of the Gini index </w:t>
      </w:r>
      <w:r w:rsidR="00606E7A">
        <w:rPr>
          <w:rFonts w:cstheme="minorHAnsi"/>
          <w:sz w:val="24"/>
          <w:szCs w:val="24"/>
          <w:lang w:val="en-GB"/>
        </w:rPr>
        <w:t xml:space="preserve">with </w:t>
      </w:r>
      <w:r w:rsidRPr="00203B80">
        <w:rPr>
          <w:rFonts w:cstheme="minorHAnsi"/>
          <w:sz w:val="24"/>
          <w:szCs w:val="24"/>
          <w:lang w:val="en-GB"/>
        </w:rPr>
        <w:t>the value of 40.5 in 2020.</w:t>
      </w:r>
      <w:r w:rsidRPr="0011716C">
        <w:rPr>
          <w:rStyle w:val="Odkaznapoznmkupodiarou"/>
          <w:rFonts w:cstheme="minorHAnsi"/>
          <w:sz w:val="24"/>
          <w:szCs w:val="24"/>
          <w:lang w:val="en-GB"/>
        </w:rPr>
        <w:footnoteReference w:id="8"/>
      </w:r>
      <w:r w:rsidRPr="0011716C">
        <w:rPr>
          <w:rFonts w:cstheme="minorHAnsi"/>
          <w:sz w:val="24"/>
          <w:szCs w:val="24"/>
          <w:lang w:val="en-GB"/>
        </w:rPr>
        <w:t xml:space="preserve"> At the same time, incomes of those in the bottom 40% of the income distribution grew by 10.1% in the period between 2015 and 2020.</w:t>
      </w:r>
      <w:r w:rsidRPr="0011716C">
        <w:rPr>
          <w:rStyle w:val="Odkaznapoznmkupodiarou"/>
          <w:rFonts w:cstheme="minorHAnsi"/>
          <w:sz w:val="24"/>
          <w:szCs w:val="24"/>
          <w:lang w:val="en-GB"/>
        </w:rPr>
        <w:footnoteReference w:id="9"/>
      </w:r>
      <w:r w:rsidR="00D87262">
        <w:rPr>
          <w:rFonts w:cstheme="minorHAnsi"/>
          <w:sz w:val="24"/>
          <w:szCs w:val="24"/>
          <w:lang w:val="en-GB"/>
        </w:rPr>
        <w:t xml:space="preserve"> </w:t>
      </w:r>
      <w:r w:rsidR="00FC7DAA">
        <w:rPr>
          <w:rFonts w:cstheme="minorHAnsi"/>
          <w:sz w:val="24"/>
          <w:szCs w:val="24"/>
          <w:lang w:val="en-GB"/>
        </w:rPr>
        <w:t>Nevertheless, in the first quarter of 2024</w:t>
      </w:r>
      <w:r w:rsidR="0015277F">
        <w:rPr>
          <w:rFonts w:cstheme="minorHAnsi"/>
          <w:sz w:val="24"/>
          <w:szCs w:val="24"/>
          <w:lang w:val="en-GB"/>
        </w:rPr>
        <w:t>,</w:t>
      </w:r>
      <w:r w:rsidR="00FC7DAA">
        <w:rPr>
          <w:rFonts w:cstheme="minorHAnsi"/>
          <w:sz w:val="24"/>
          <w:szCs w:val="24"/>
          <w:lang w:val="en-GB"/>
        </w:rPr>
        <w:t xml:space="preserve"> </w:t>
      </w:r>
      <w:r w:rsidR="00D87262">
        <w:rPr>
          <w:rFonts w:cstheme="minorHAnsi"/>
          <w:sz w:val="24"/>
          <w:szCs w:val="24"/>
          <w:lang w:val="en-GB"/>
        </w:rPr>
        <w:t xml:space="preserve">hourly labour costs </w:t>
      </w:r>
      <w:r w:rsidR="00FC7DAA">
        <w:rPr>
          <w:rFonts w:cstheme="minorHAnsi"/>
          <w:sz w:val="24"/>
          <w:szCs w:val="24"/>
          <w:lang w:val="en-GB"/>
        </w:rPr>
        <w:t>significant</w:t>
      </w:r>
      <w:r w:rsidR="00D87262">
        <w:rPr>
          <w:rFonts w:cstheme="minorHAnsi"/>
          <w:sz w:val="24"/>
          <w:szCs w:val="24"/>
          <w:lang w:val="en-GB"/>
        </w:rPr>
        <w:t>ly</w:t>
      </w:r>
      <w:r w:rsidR="00FC7DAA">
        <w:rPr>
          <w:rFonts w:cstheme="minorHAnsi"/>
          <w:sz w:val="24"/>
          <w:szCs w:val="24"/>
          <w:lang w:val="en-GB"/>
        </w:rPr>
        <w:t xml:space="preserve"> </w:t>
      </w:r>
      <w:r w:rsidR="00904366">
        <w:rPr>
          <w:rFonts w:cstheme="minorHAnsi"/>
          <w:sz w:val="24"/>
          <w:szCs w:val="24"/>
          <w:lang w:val="en-GB"/>
        </w:rPr>
        <w:t>increase</w:t>
      </w:r>
      <w:r w:rsidR="00D87262">
        <w:rPr>
          <w:rFonts w:cstheme="minorHAnsi"/>
          <w:sz w:val="24"/>
          <w:szCs w:val="24"/>
          <w:lang w:val="en-GB"/>
        </w:rPr>
        <w:t>d</w:t>
      </w:r>
      <w:r w:rsidR="00904366">
        <w:rPr>
          <w:rFonts w:cstheme="minorHAnsi"/>
          <w:sz w:val="24"/>
          <w:szCs w:val="24"/>
          <w:lang w:val="en-GB"/>
        </w:rPr>
        <w:t xml:space="preserve"> in year-on-year </w:t>
      </w:r>
      <w:r w:rsidR="00D87262">
        <w:rPr>
          <w:rFonts w:cstheme="minorHAnsi"/>
          <w:sz w:val="24"/>
          <w:szCs w:val="24"/>
          <w:lang w:val="en-GB"/>
        </w:rPr>
        <w:t>by</w:t>
      </w:r>
      <w:r w:rsidR="0015277F">
        <w:rPr>
          <w:rFonts w:cstheme="minorHAnsi"/>
          <w:sz w:val="24"/>
          <w:szCs w:val="24"/>
          <w:lang w:val="en-GB"/>
        </w:rPr>
        <w:t xml:space="preserve"> 15.</w:t>
      </w:r>
      <w:r w:rsidR="00904366">
        <w:rPr>
          <w:rFonts w:cstheme="minorHAnsi"/>
          <w:sz w:val="24"/>
          <w:szCs w:val="24"/>
          <w:lang w:val="en-GB"/>
        </w:rPr>
        <w:t>8% on averag</w:t>
      </w:r>
      <w:r w:rsidR="00D87262">
        <w:rPr>
          <w:rFonts w:cstheme="minorHAnsi"/>
          <w:sz w:val="24"/>
          <w:szCs w:val="24"/>
          <w:lang w:val="en-GB"/>
        </w:rPr>
        <w:t>e with the sharpest rise i</w:t>
      </w:r>
      <w:r w:rsidR="0015277F">
        <w:rPr>
          <w:rFonts w:cstheme="minorHAnsi"/>
          <w:sz w:val="24"/>
          <w:szCs w:val="24"/>
          <w:lang w:val="en-GB"/>
        </w:rPr>
        <w:t>n the construction sector of 19.</w:t>
      </w:r>
      <w:r w:rsidR="00D87262">
        <w:rPr>
          <w:rFonts w:cstheme="minorHAnsi"/>
          <w:sz w:val="24"/>
          <w:szCs w:val="24"/>
          <w:lang w:val="en-GB"/>
        </w:rPr>
        <w:t>3%.</w:t>
      </w:r>
      <w:r w:rsidR="00D87262">
        <w:rPr>
          <w:rStyle w:val="Odkaznapoznmkupodiarou"/>
          <w:rFonts w:cstheme="minorHAnsi"/>
          <w:sz w:val="24"/>
          <w:szCs w:val="24"/>
          <w:lang w:val="en-GB"/>
        </w:rPr>
        <w:footnoteReference w:id="10"/>
      </w:r>
    </w:p>
    <w:p w14:paraId="70EDA7A7" w14:textId="6156CB7D" w:rsidR="00BC52FC" w:rsidRDefault="004C7221" w:rsidP="00766773">
      <w:pPr>
        <w:spacing w:line="360" w:lineRule="auto"/>
        <w:ind w:firstLine="708"/>
        <w:contextualSpacing/>
        <w:jc w:val="both"/>
        <w:rPr>
          <w:rFonts w:cstheme="minorHAnsi"/>
          <w:sz w:val="24"/>
          <w:szCs w:val="24"/>
          <w:lang w:val="en-GB"/>
        </w:rPr>
      </w:pPr>
      <w:r w:rsidRPr="00203B80">
        <w:rPr>
          <w:rFonts w:cstheme="minorHAnsi"/>
          <w:sz w:val="24"/>
          <w:szCs w:val="24"/>
          <w:lang w:val="en-GB"/>
        </w:rPr>
        <w:lastRenderedPageBreak/>
        <w:t>Over the year 2023, inflation in Bulgaria reached 8.6%, the Harmonised Index of Consumer Prices decreased form 14.3% in December 2022 to 5% in December 2023.</w:t>
      </w:r>
      <w:r w:rsidR="00666988">
        <w:rPr>
          <w:rStyle w:val="Odkaznapoznmkupodiarou"/>
          <w:rFonts w:cstheme="minorHAnsi"/>
          <w:sz w:val="24"/>
          <w:szCs w:val="24"/>
          <w:lang w:val="en-GB"/>
        </w:rPr>
        <w:footnoteReference w:id="11"/>
      </w:r>
      <w:r w:rsidRPr="00203B80">
        <w:rPr>
          <w:rFonts w:cstheme="minorHAnsi"/>
          <w:sz w:val="24"/>
          <w:szCs w:val="24"/>
          <w:lang w:val="en-GB"/>
        </w:rPr>
        <w:t xml:space="preserve"> According to </w:t>
      </w:r>
      <w:proofErr w:type="spellStart"/>
      <w:r w:rsidRPr="00203B80">
        <w:rPr>
          <w:rFonts w:cstheme="minorHAnsi"/>
          <w:sz w:val="24"/>
          <w:szCs w:val="24"/>
          <w:lang w:val="en-GB"/>
        </w:rPr>
        <w:t>Eurofound</w:t>
      </w:r>
      <w:proofErr w:type="spellEnd"/>
      <w:r w:rsidRPr="00203B80">
        <w:rPr>
          <w:rFonts w:cstheme="minorHAnsi"/>
          <w:sz w:val="24"/>
          <w:szCs w:val="24"/>
          <w:lang w:val="en-GB"/>
        </w:rPr>
        <w:t xml:space="preserve"> data, the ra</w:t>
      </w:r>
      <w:r w:rsidR="00666988">
        <w:rPr>
          <w:rFonts w:cstheme="minorHAnsi"/>
          <w:sz w:val="24"/>
          <w:szCs w:val="24"/>
          <w:lang w:val="en-GB"/>
        </w:rPr>
        <w:t>te of increase of</w:t>
      </w:r>
      <w:r w:rsidRPr="00203B80">
        <w:rPr>
          <w:rFonts w:cstheme="minorHAnsi"/>
          <w:sz w:val="24"/>
          <w:szCs w:val="24"/>
          <w:lang w:val="en-GB"/>
        </w:rPr>
        <w:t xml:space="preserve"> minimum wage over </w:t>
      </w:r>
      <w:r w:rsidR="0015277F">
        <w:rPr>
          <w:rFonts w:cstheme="minorHAnsi"/>
          <w:sz w:val="24"/>
          <w:szCs w:val="24"/>
          <w:lang w:val="en-GB"/>
        </w:rPr>
        <w:t>the year 2022 in Bulgaria was 9.</w:t>
      </w:r>
      <w:r w:rsidRPr="00203B80">
        <w:rPr>
          <w:rFonts w:cstheme="minorHAnsi"/>
          <w:sz w:val="24"/>
          <w:szCs w:val="24"/>
          <w:lang w:val="en-GB"/>
        </w:rPr>
        <w:t>86% compared to the rate of increase in the harmonized index of consum</w:t>
      </w:r>
      <w:r w:rsidR="0015277F">
        <w:rPr>
          <w:rFonts w:cstheme="minorHAnsi"/>
          <w:sz w:val="24"/>
          <w:szCs w:val="24"/>
          <w:lang w:val="en-GB"/>
        </w:rPr>
        <w:t>er prices (HICP) inflation of 8.</w:t>
      </w:r>
      <w:r w:rsidRPr="00203B80">
        <w:rPr>
          <w:rFonts w:cstheme="minorHAnsi"/>
          <w:sz w:val="24"/>
          <w:szCs w:val="24"/>
          <w:lang w:val="en-GB"/>
        </w:rPr>
        <w:t>51%, indicating that the increase in minimum wage minimized the negative impact of inflation on minimum wages in the year 2022.</w:t>
      </w:r>
      <w:r w:rsidRPr="0011716C">
        <w:rPr>
          <w:rStyle w:val="Odkaznapoznmkupodiarou"/>
          <w:rFonts w:cstheme="minorHAnsi"/>
          <w:sz w:val="24"/>
          <w:szCs w:val="24"/>
          <w:lang w:val="en-GB"/>
        </w:rPr>
        <w:footnoteReference w:id="12"/>
      </w:r>
      <w:r w:rsidR="000A26D5" w:rsidRPr="0011716C">
        <w:rPr>
          <w:rFonts w:cstheme="minorHAnsi"/>
          <w:sz w:val="24"/>
          <w:szCs w:val="24"/>
          <w:lang w:val="en-GB"/>
        </w:rPr>
        <w:t xml:space="preserve"> See Figure 1. </w:t>
      </w:r>
      <w:proofErr w:type="gramStart"/>
      <w:r w:rsidR="000A26D5" w:rsidRPr="0011716C">
        <w:rPr>
          <w:rFonts w:cstheme="minorHAnsi"/>
          <w:sz w:val="24"/>
          <w:szCs w:val="24"/>
          <w:lang w:val="en-GB"/>
        </w:rPr>
        <w:t>for</w:t>
      </w:r>
      <w:proofErr w:type="gramEnd"/>
      <w:r w:rsidR="000A26D5" w:rsidRPr="0011716C">
        <w:rPr>
          <w:rFonts w:cstheme="minorHAnsi"/>
          <w:sz w:val="24"/>
          <w:szCs w:val="24"/>
          <w:lang w:val="en-GB"/>
        </w:rPr>
        <w:t xml:space="preserve"> comparison of the growth of real minimum and real average wages in Bulgaria in the period January 2021- December 2023. </w:t>
      </w:r>
    </w:p>
    <w:p w14:paraId="6499E0FD" w14:textId="77777777" w:rsidR="00766773" w:rsidRPr="00203B80" w:rsidRDefault="00766773" w:rsidP="00766773">
      <w:pPr>
        <w:spacing w:line="360" w:lineRule="auto"/>
        <w:ind w:firstLine="708"/>
        <w:contextualSpacing/>
        <w:jc w:val="both"/>
        <w:rPr>
          <w:rFonts w:cstheme="minorHAnsi"/>
          <w:sz w:val="24"/>
          <w:szCs w:val="24"/>
          <w:lang w:val="en-GB"/>
        </w:rPr>
      </w:pPr>
    </w:p>
    <w:p w14:paraId="5F205714" w14:textId="77777777" w:rsidR="00BC5D15" w:rsidRPr="00BC5D15" w:rsidRDefault="00BC5D15" w:rsidP="00755845">
      <w:pPr>
        <w:contextualSpacing/>
        <w:rPr>
          <w:color w:val="0070C0"/>
          <w:sz w:val="24"/>
          <w:szCs w:val="24"/>
          <w:lang w:val="en-GB"/>
        </w:rPr>
      </w:pPr>
      <w:r w:rsidRPr="00BC5D15">
        <w:rPr>
          <w:color w:val="0070C0"/>
          <w:sz w:val="24"/>
          <w:szCs w:val="24"/>
          <w:lang w:val="en-GB"/>
        </w:rPr>
        <w:t xml:space="preserve">Figure </w:t>
      </w:r>
      <w:r w:rsidRPr="00BC5D15">
        <w:rPr>
          <w:color w:val="0070C0"/>
          <w:sz w:val="24"/>
          <w:szCs w:val="24"/>
          <w:lang w:val="en-GB"/>
        </w:rPr>
        <w:fldChar w:fldCharType="begin"/>
      </w:r>
      <w:r w:rsidRPr="00BC5D15">
        <w:rPr>
          <w:color w:val="0070C0"/>
          <w:sz w:val="24"/>
          <w:szCs w:val="24"/>
          <w:lang w:val="en-GB"/>
        </w:rPr>
        <w:instrText xml:space="preserve"> SEQ Figure \* ARABIC </w:instrText>
      </w:r>
      <w:r w:rsidRPr="00BC5D15">
        <w:rPr>
          <w:color w:val="0070C0"/>
          <w:sz w:val="24"/>
          <w:szCs w:val="24"/>
          <w:lang w:val="en-GB"/>
        </w:rPr>
        <w:fldChar w:fldCharType="separate"/>
      </w:r>
      <w:r w:rsidRPr="00BC5D15">
        <w:rPr>
          <w:noProof/>
          <w:color w:val="0070C0"/>
          <w:sz w:val="24"/>
          <w:szCs w:val="24"/>
          <w:lang w:val="en-GB"/>
        </w:rPr>
        <w:t>1</w:t>
      </w:r>
      <w:r w:rsidRPr="00BC5D15">
        <w:rPr>
          <w:color w:val="0070C0"/>
          <w:sz w:val="24"/>
          <w:szCs w:val="24"/>
          <w:lang w:val="en-GB"/>
        </w:rPr>
        <w:fldChar w:fldCharType="end"/>
      </w:r>
      <w:r w:rsidRPr="00BC5D15">
        <w:rPr>
          <w:color w:val="0070C0"/>
          <w:sz w:val="24"/>
          <w:szCs w:val="24"/>
          <w:lang w:val="en-GB"/>
        </w:rPr>
        <w:t xml:space="preserve">. The comparison of real minimum and average wages in Bulgaria in EUR. </w:t>
      </w:r>
    </w:p>
    <w:p w14:paraId="6CA85365" w14:textId="438E22A5" w:rsidR="000A26D5" w:rsidRPr="00F01203" w:rsidRDefault="000A26D5" w:rsidP="00755845">
      <w:pPr>
        <w:keepNext/>
        <w:spacing w:line="360" w:lineRule="auto"/>
        <w:contextualSpacing/>
        <w:rPr>
          <w:rFonts w:cstheme="minorHAnsi"/>
          <w:sz w:val="24"/>
          <w:szCs w:val="24"/>
          <w:lang w:val="en-GB"/>
        </w:rPr>
      </w:pPr>
      <w:r w:rsidRPr="009F0436">
        <w:rPr>
          <w:rFonts w:cstheme="minorHAnsi"/>
          <w:noProof/>
          <w:sz w:val="24"/>
          <w:szCs w:val="24"/>
          <w:lang w:val="sk-SK" w:eastAsia="sk-SK"/>
        </w:rPr>
        <w:drawing>
          <wp:inline distT="0" distB="0" distL="0" distR="0" wp14:anchorId="5FBE1C4C" wp14:editId="02F60E00">
            <wp:extent cx="5416550" cy="2865899"/>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5490" cy="2870629"/>
                    </a:xfrm>
                    <a:prstGeom prst="rect">
                      <a:avLst/>
                    </a:prstGeom>
                  </pic:spPr>
                </pic:pic>
              </a:graphicData>
            </a:graphic>
          </wp:inline>
        </w:drawing>
      </w:r>
    </w:p>
    <w:p w14:paraId="1D63AB96" w14:textId="16669CAA" w:rsidR="00B7194B" w:rsidRPr="00F01203" w:rsidRDefault="00B7194B" w:rsidP="00755845">
      <w:pPr>
        <w:spacing w:line="360" w:lineRule="auto"/>
        <w:contextualSpacing/>
        <w:jc w:val="both"/>
        <w:rPr>
          <w:rFonts w:cstheme="minorHAnsi"/>
          <w:i/>
          <w:sz w:val="24"/>
          <w:szCs w:val="24"/>
          <w:lang w:val="en-GB"/>
        </w:rPr>
      </w:pPr>
      <w:r w:rsidRPr="00F01203">
        <w:rPr>
          <w:rFonts w:cstheme="minorHAnsi"/>
          <w:i/>
          <w:sz w:val="24"/>
          <w:szCs w:val="24"/>
          <w:lang w:val="en-GB"/>
        </w:rPr>
        <w:t xml:space="preserve">Source: </w:t>
      </w:r>
      <w:proofErr w:type="spellStart"/>
      <w:r w:rsidRPr="00F01203">
        <w:rPr>
          <w:rFonts w:cstheme="minorHAnsi"/>
          <w:i/>
          <w:sz w:val="24"/>
          <w:szCs w:val="24"/>
          <w:lang w:val="en-GB"/>
        </w:rPr>
        <w:t>Sintez</w:t>
      </w:r>
      <w:proofErr w:type="spellEnd"/>
      <w:r w:rsidRPr="00F01203">
        <w:rPr>
          <w:rFonts w:cstheme="minorHAnsi"/>
          <w:i/>
          <w:sz w:val="24"/>
          <w:szCs w:val="24"/>
          <w:lang w:val="en-GB"/>
        </w:rPr>
        <w:t xml:space="preserve"> </w:t>
      </w:r>
      <w:proofErr w:type="spellStart"/>
      <w:r w:rsidRPr="00F01203">
        <w:rPr>
          <w:rFonts w:cstheme="minorHAnsi"/>
          <w:i/>
          <w:sz w:val="24"/>
          <w:szCs w:val="24"/>
          <w:lang w:val="en-GB"/>
        </w:rPr>
        <w:t>Podkrepa</w:t>
      </w:r>
      <w:proofErr w:type="spellEnd"/>
      <w:r w:rsidRPr="00F01203">
        <w:rPr>
          <w:rFonts w:cstheme="minorHAnsi"/>
          <w:i/>
          <w:sz w:val="24"/>
          <w:szCs w:val="24"/>
          <w:lang w:val="en-GB"/>
        </w:rPr>
        <w:t xml:space="preserve">. (March 1, 2024). Presentation at </w:t>
      </w:r>
      <w:r w:rsidR="005B3802" w:rsidRPr="00F01203">
        <w:rPr>
          <w:rFonts w:cstheme="minorHAnsi"/>
          <w:i/>
          <w:sz w:val="24"/>
          <w:szCs w:val="24"/>
          <w:lang w:val="en-GB"/>
        </w:rPr>
        <w:t>Trade Union Research Institute</w:t>
      </w:r>
      <w:r w:rsidRPr="00F01203">
        <w:rPr>
          <w:rFonts w:cstheme="minorHAnsi"/>
          <w:i/>
          <w:sz w:val="24"/>
          <w:szCs w:val="24"/>
          <w:lang w:val="en-GB"/>
        </w:rPr>
        <w:t xml:space="preserve"> Meeting, Brussels. </w:t>
      </w:r>
    </w:p>
    <w:p w14:paraId="00DC448A" w14:textId="77777777" w:rsidR="00BC5D15" w:rsidRDefault="00BC5D15" w:rsidP="00755845">
      <w:pPr>
        <w:spacing w:line="360" w:lineRule="auto"/>
        <w:ind w:firstLine="709"/>
        <w:contextualSpacing/>
        <w:jc w:val="both"/>
        <w:rPr>
          <w:rFonts w:cstheme="minorHAnsi"/>
          <w:sz w:val="24"/>
          <w:szCs w:val="24"/>
          <w:lang w:val="en-GB"/>
        </w:rPr>
      </w:pPr>
    </w:p>
    <w:p w14:paraId="599059F5" w14:textId="6035892C" w:rsidR="004C7221" w:rsidRPr="00F01203" w:rsidRDefault="004C7221" w:rsidP="00755845">
      <w:pPr>
        <w:spacing w:line="360" w:lineRule="auto"/>
        <w:ind w:firstLine="709"/>
        <w:contextualSpacing/>
        <w:jc w:val="both"/>
        <w:rPr>
          <w:rFonts w:cstheme="minorHAnsi"/>
          <w:sz w:val="24"/>
          <w:szCs w:val="24"/>
          <w:lang w:val="en-GB"/>
        </w:rPr>
      </w:pPr>
      <w:r w:rsidRPr="0011716C">
        <w:rPr>
          <w:rFonts w:cstheme="minorHAnsi"/>
          <w:sz w:val="24"/>
          <w:szCs w:val="24"/>
          <w:lang w:val="en-GB"/>
        </w:rPr>
        <w:t>In general, the average gross hourly wage for employees covered by C</w:t>
      </w:r>
      <w:r w:rsidR="002B5921" w:rsidRPr="00203B80">
        <w:rPr>
          <w:rFonts w:cstheme="minorHAnsi"/>
          <w:sz w:val="24"/>
          <w:szCs w:val="24"/>
          <w:lang w:val="en-GB"/>
        </w:rPr>
        <w:t>B</w:t>
      </w:r>
      <w:r w:rsidRPr="00203B80">
        <w:rPr>
          <w:rFonts w:cstheme="minorHAnsi"/>
          <w:sz w:val="24"/>
          <w:szCs w:val="24"/>
          <w:lang w:val="en-GB"/>
        </w:rPr>
        <w:t>As is 8,3% higher than those not covered by C</w:t>
      </w:r>
      <w:r w:rsidR="002B5921" w:rsidRPr="00203B80">
        <w:rPr>
          <w:rFonts w:cstheme="minorHAnsi"/>
          <w:sz w:val="24"/>
          <w:szCs w:val="24"/>
          <w:lang w:val="en-GB"/>
        </w:rPr>
        <w:t>B</w:t>
      </w:r>
      <w:r w:rsidRPr="00203B80">
        <w:rPr>
          <w:rFonts w:cstheme="minorHAnsi"/>
          <w:sz w:val="24"/>
          <w:szCs w:val="24"/>
          <w:lang w:val="en-GB"/>
        </w:rPr>
        <w:t>As and the gross monthly average wage is 18.6% higher and the annual average gross wage is 22.4% higher than the wages not covered by the collective labour agreements across all sectors (Interview BG05).</w:t>
      </w:r>
    </w:p>
    <w:p w14:paraId="2E6D2EC3" w14:textId="6DD4C40C" w:rsidR="0029753A" w:rsidRPr="00F01203" w:rsidRDefault="00C934B5" w:rsidP="00755845">
      <w:pPr>
        <w:pStyle w:val="Nadpis1"/>
        <w:numPr>
          <w:ilvl w:val="0"/>
          <w:numId w:val="14"/>
        </w:numPr>
        <w:spacing w:line="360" w:lineRule="auto"/>
        <w:contextualSpacing/>
        <w:jc w:val="both"/>
        <w:rPr>
          <w:rFonts w:cstheme="majorHAnsi"/>
          <w:szCs w:val="24"/>
          <w:lang w:val="en-GB"/>
        </w:rPr>
      </w:pPr>
      <w:bookmarkStart w:id="22" w:name="_Toc174086655"/>
      <w:r w:rsidRPr="00F01203">
        <w:rPr>
          <w:rFonts w:cstheme="majorHAnsi"/>
          <w:szCs w:val="24"/>
          <w:lang w:val="en-GB"/>
        </w:rPr>
        <w:lastRenderedPageBreak/>
        <w:t>I</w:t>
      </w:r>
      <w:r w:rsidR="0053307E" w:rsidRPr="00F01203">
        <w:rPr>
          <w:rFonts w:cstheme="majorHAnsi"/>
          <w:szCs w:val="24"/>
          <w:lang w:val="en-GB"/>
        </w:rPr>
        <w:t xml:space="preserve">ndustrial relations </w:t>
      </w:r>
      <w:r w:rsidR="004C7221" w:rsidRPr="00F01203">
        <w:rPr>
          <w:rFonts w:cstheme="majorHAnsi"/>
          <w:szCs w:val="24"/>
          <w:lang w:val="en-GB"/>
        </w:rPr>
        <w:t>and collective</w:t>
      </w:r>
      <w:r w:rsidR="0029753A" w:rsidRPr="00F01203">
        <w:rPr>
          <w:rFonts w:cstheme="majorHAnsi"/>
          <w:szCs w:val="24"/>
          <w:lang w:val="en-GB"/>
        </w:rPr>
        <w:t xml:space="preserve"> bargaining </w:t>
      </w:r>
      <w:bookmarkEnd w:id="22"/>
    </w:p>
    <w:p w14:paraId="3EBC9DC0" w14:textId="35026723" w:rsidR="009F0436" w:rsidRPr="00F37909" w:rsidRDefault="00192F2A" w:rsidP="00755845">
      <w:pPr>
        <w:pStyle w:val="Nadpis2"/>
        <w:numPr>
          <w:ilvl w:val="1"/>
          <w:numId w:val="20"/>
        </w:numPr>
        <w:spacing w:line="360" w:lineRule="auto"/>
        <w:contextualSpacing/>
        <w:jc w:val="both"/>
        <w:rPr>
          <w:sz w:val="28"/>
          <w:szCs w:val="24"/>
          <w:lang w:val="en-GB"/>
        </w:rPr>
      </w:pPr>
      <w:bookmarkStart w:id="23" w:name="_Toc174086656"/>
      <w:r w:rsidRPr="00F01203">
        <w:rPr>
          <w:sz w:val="28"/>
          <w:szCs w:val="24"/>
          <w:lang w:val="en-GB"/>
        </w:rPr>
        <w:t>Trade union membership and union density</w:t>
      </w:r>
      <w:bookmarkEnd w:id="23"/>
    </w:p>
    <w:p w14:paraId="3C63BF37" w14:textId="5E5A7144" w:rsidR="00BC52FC" w:rsidRDefault="004C7221" w:rsidP="00CB6023">
      <w:pPr>
        <w:spacing w:line="360" w:lineRule="auto"/>
        <w:ind w:firstLine="709"/>
        <w:contextualSpacing/>
        <w:jc w:val="both"/>
        <w:rPr>
          <w:rFonts w:cstheme="minorHAnsi"/>
          <w:sz w:val="24"/>
          <w:szCs w:val="24"/>
          <w:lang w:val="en-GB"/>
        </w:rPr>
      </w:pPr>
      <w:r w:rsidRPr="0011716C">
        <w:rPr>
          <w:rFonts w:cstheme="minorHAnsi"/>
          <w:sz w:val="24"/>
          <w:szCs w:val="24"/>
          <w:lang w:val="en-GB"/>
        </w:rPr>
        <w:t>Trade union density in Bulgaria is 15.3% (2016); and employer organization density is 55.3% (2016). Adjusted bargaining coverage rate in Bulgaria is 27.8% (2018)</w:t>
      </w:r>
      <w:r w:rsidR="000D5DBB" w:rsidRPr="00203B80">
        <w:rPr>
          <w:rFonts w:cstheme="minorHAnsi"/>
          <w:sz w:val="24"/>
          <w:szCs w:val="24"/>
          <w:lang w:val="en-GB"/>
        </w:rPr>
        <w:t xml:space="preserve"> (see also Table 2)</w:t>
      </w:r>
      <w:r w:rsidRPr="00203B80">
        <w:rPr>
          <w:rFonts w:cstheme="minorHAnsi"/>
          <w:sz w:val="24"/>
          <w:szCs w:val="24"/>
          <w:lang w:val="en-GB"/>
        </w:rPr>
        <w:t>.</w:t>
      </w:r>
      <w:r w:rsidRPr="0011716C">
        <w:rPr>
          <w:rStyle w:val="Odkaznapoznmkupodiarou"/>
          <w:rFonts w:cstheme="minorHAnsi"/>
          <w:sz w:val="24"/>
          <w:szCs w:val="24"/>
          <w:lang w:val="en-GB"/>
        </w:rPr>
        <w:footnoteReference w:id="13"/>
      </w:r>
      <w:r w:rsidRPr="0011716C">
        <w:rPr>
          <w:rFonts w:cstheme="minorHAnsi"/>
          <w:sz w:val="24"/>
          <w:szCs w:val="24"/>
          <w:lang w:val="en-GB"/>
        </w:rPr>
        <w:t xml:space="preserve"> </w:t>
      </w:r>
    </w:p>
    <w:p w14:paraId="7E593A13" w14:textId="77777777" w:rsidR="00766773" w:rsidRPr="0011716C" w:rsidRDefault="00766773" w:rsidP="00CB6023">
      <w:pPr>
        <w:spacing w:line="360" w:lineRule="auto"/>
        <w:ind w:firstLine="709"/>
        <w:contextualSpacing/>
        <w:jc w:val="both"/>
        <w:rPr>
          <w:rFonts w:cstheme="minorHAnsi"/>
          <w:sz w:val="24"/>
          <w:szCs w:val="24"/>
          <w:lang w:val="en-GB"/>
        </w:rPr>
      </w:pPr>
    </w:p>
    <w:p w14:paraId="3252197D" w14:textId="32E96914" w:rsidR="00B53FDA" w:rsidRPr="00BC5D15" w:rsidRDefault="000D5DBB" w:rsidP="00755845">
      <w:pPr>
        <w:spacing w:line="360" w:lineRule="auto"/>
        <w:contextualSpacing/>
        <w:jc w:val="both"/>
        <w:rPr>
          <w:color w:val="0070C0"/>
          <w:sz w:val="24"/>
          <w:szCs w:val="24"/>
          <w:lang w:val="en-GB"/>
        </w:rPr>
      </w:pPr>
      <w:r w:rsidRPr="00BC5D15">
        <w:rPr>
          <w:rFonts w:cstheme="minorHAnsi"/>
          <w:color w:val="0070C0"/>
          <w:sz w:val="24"/>
          <w:szCs w:val="24"/>
          <w:lang w:val="en-GB"/>
        </w:rPr>
        <w:t>Table 2 Basic industrial relations characteristics - Bulgaria</w:t>
      </w:r>
    </w:p>
    <w:tbl>
      <w:tblPr>
        <w:tblW w:w="8956" w:type="dxa"/>
        <w:tblInd w:w="118" w:type="dxa"/>
        <w:tblLayout w:type="fixed"/>
        <w:tblCellMar>
          <w:left w:w="0" w:type="dxa"/>
          <w:right w:w="0" w:type="dxa"/>
        </w:tblCellMar>
        <w:tblLook w:val="01E0" w:firstRow="1" w:lastRow="1" w:firstColumn="1" w:lastColumn="1" w:noHBand="0" w:noVBand="0"/>
      </w:tblPr>
      <w:tblGrid>
        <w:gridCol w:w="2985"/>
        <w:gridCol w:w="2985"/>
        <w:gridCol w:w="2986"/>
      </w:tblGrid>
      <w:tr w:rsidR="00B53FDA" w:rsidRPr="00203B80" w14:paraId="13C97364" w14:textId="77777777" w:rsidTr="000238BD">
        <w:trPr>
          <w:trHeight w:val="323"/>
        </w:trPr>
        <w:tc>
          <w:tcPr>
            <w:tcW w:w="2985" w:type="dxa"/>
            <w:tcBorders>
              <w:right w:val="dotted" w:sz="2" w:space="0" w:color="231F20"/>
            </w:tcBorders>
            <w:shd w:val="clear" w:color="auto" w:fill="808285"/>
          </w:tcPr>
          <w:p w14:paraId="12A8ABE7" w14:textId="77777777" w:rsidR="00B53FDA" w:rsidRPr="00F01203" w:rsidRDefault="00B53FDA" w:rsidP="00755845">
            <w:pPr>
              <w:pStyle w:val="TableParagraph"/>
              <w:spacing w:line="360" w:lineRule="auto"/>
              <w:ind w:left="79"/>
              <w:contextualSpacing/>
              <w:jc w:val="both"/>
              <w:rPr>
                <w:rFonts w:asciiTheme="minorHAnsi" w:hAnsiTheme="minorHAnsi" w:cstheme="minorHAnsi"/>
                <w:sz w:val="24"/>
                <w:szCs w:val="24"/>
                <w:lang w:val="en-GB"/>
              </w:rPr>
            </w:pPr>
            <w:r w:rsidRPr="00F01203">
              <w:rPr>
                <w:rFonts w:asciiTheme="minorHAnsi" w:hAnsiTheme="minorHAnsi" w:cstheme="minorHAnsi"/>
                <w:color w:val="FFFFFF"/>
                <w:w w:val="85"/>
                <w:sz w:val="24"/>
                <w:szCs w:val="24"/>
                <w:lang w:val="en-GB"/>
              </w:rPr>
              <w:t>Key</w:t>
            </w:r>
            <w:r w:rsidRPr="00F01203">
              <w:rPr>
                <w:rFonts w:asciiTheme="minorHAnsi" w:hAnsiTheme="minorHAnsi" w:cstheme="minorHAnsi"/>
                <w:color w:val="FFFFFF"/>
                <w:spacing w:val="-5"/>
                <w:sz w:val="24"/>
                <w:szCs w:val="24"/>
                <w:lang w:val="en-GB"/>
              </w:rPr>
              <w:t xml:space="preserve"> </w:t>
            </w:r>
            <w:r w:rsidRPr="00F01203">
              <w:rPr>
                <w:rFonts w:asciiTheme="minorHAnsi" w:hAnsiTheme="minorHAnsi" w:cstheme="minorHAnsi"/>
                <w:color w:val="FFFFFF"/>
                <w:spacing w:val="-2"/>
                <w:sz w:val="24"/>
                <w:szCs w:val="24"/>
                <w:lang w:val="en-GB"/>
              </w:rPr>
              <w:t>features</w:t>
            </w:r>
          </w:p>
        </w:tc>
        <w:tc>
          <w:tcPr>
            <w:tcW w:w="2985" w:type="dxa"/>
            <w:tcBorders>
              <w:left w:val="dotted" w:sz="2" w:space="0" w:color="231F20"/>
              <w:right w:val="dotted" w:sz="2" w:space="0" w:color="231F20"/>
            </w:tcBorders>
            <w:shd w:val="clear" w:color="auto" w:fill="808285"/>
          </w:tcPr>
          <w:p w14:paraId="6BD76813" w14:textId="77777777"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FFFFFF"/>
                <w:spacing w:val="-4"/>
                <w:sz w:val="24"/>
                <w:szCs w:val="24"/>
                <w:lang w:val="en-GB"/>
              </w:rPr>
              <w:t>2000</w:t>
            </w:r>
          </w:p>
        </w:tc>
        <w:tc>
          <w:tcPr>
            <w:tcW w:w="2986" w:type="dxa"/>
            <w:tcBorders>
              <w:left w:val="dotted" w:sz="2" w:space="0" w:color="231F20"/>
            </w:tcBorders>
            <w:shd w:val="clear" w:color="auto" w:fill="808285"/>
          </w:tcPr>
          <w:p w14:paraId="41C092B8" w14:textId="77777777"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FFFFFF"/>
                <w:spacing w:val="-4"/>
                <w:sz w:val="24"/>
                <w:szCs w:val="24"/>
                <w:lang w:val="en-GB"/>
              </w:rPr>
              <w:t>2016</w:t>
            </w:r>
          </w:p>
        </w:tc>
      </w:tr>
      <w:tr w:rsidR="00B53FDA" w:rsidRPr="00203B80" w14:paraId="12F47C19" w14:textId="77777777" w:rsidTr="000238BD">
        <w:trPr>
          <w:trHeight w:val="323"/>
        </w:trPr>
        <w:tc>
          <w:tcPr>
            <w:tcW w:w="2985" w:type="dxa"/>
            <w:tcBorders>
              <w:right w:val="dotted" w:sz="2" w:space="0" w:color="231F20"/>
            </w:tcBorders>
          </w:tcPr>
          <w:p w14:paraId="325C6EF0" w14:textId="77777777" w:rsidR="00B53FDA" w:rsidRPr="00F01203" w:rsidRDefault="00B53FDA" w:rsidP="00755845">
            <w:pPr>
              <w:pStyle w:val="TableParagraph"/>
              <w:spacing w:line="360" w:lineRule="auto"/>
              <w:ind w:left="79"/>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Actors</w:t>
            </w:r>
            <w:r w:rsidRPr="00F01203">
              <w:rPr>
                <w:rFonts w:asciiTheme="minorHAnsi" w:hAnsiTheme="minorHAnsi" w:cstheme="minorHAnsi"/>
                <w:color w:val="231F20"/>
                <w:spacing w:val="4"/>
                <w:sz w:val="24"/>
                <w:szCs w:val="24"/>
                <w:lang w:val="en-GB"/>
              </w:rPr>
              <w:t xml:space="preserve"> </w:t>
            </w:r>
            <w:r w:rsidRPr="00F01203">
              <w:rPr>
                <w:rFonts w:asciiTheme="minorHAnsi" w:hAnsiTheme="minorHAnsi" w:cstheme="minorHAnsi"/>
                <w:color w:val="231F20"/>
                <w:w w:val="85"/>
                <w:sz w:val="24"/>
                <w:szCs w:val="24"/>
                <w:lang w:val="en-GB"/>
              </w:rPr>
              <w:t>entitled</w:t>
            </w:r>
            <w:r w:rsidRPr="00F01203">
              <w:rPr>
                <w:rFonts w:asciiTheme="minorHAnsi" w:hAnsiTheme="minorHAnsi" w:cstheme="minorHAnsi"/>
                <w:color w:val="231F20"/>
                <w:spacing w:val="5"/>
                <w:sz w:val="24"/>
                <w:szCs w:val="24"/>
                <w:lang w:val="en-GB"/>
              </w:rPr>
              <w:t xml:space="preserve"> </w:t>
            </w:r>
            <w:r w:rsidRPr="00F01203">
              <w:rPr>
                <w:rFonts w:asciiTheme="minorHAnsi" w:hAnsiTheme="minorHAnsi" w:cstheme="minorHAnsi"/>
                <w:color w:val="231F20"/>
                <w:w w:val="85"/>
                <w:sz w:val="24"/>
                <w:szCs w:val="24"/>
                <w:lang w:val="en-GB"/>
              </w:rPr>
              <w:t>to</w:t>
            </w:r>
            <w:r w:rsidRPr="00F01203">
              <w:rPr>
                <w:rFonts w:asciiTheme="minorHAnsi" w:hAnsiTheme="minorHAnsi" w:cstheme="minorHAnsi"/>
                <w:color w:val="231F20"/>
                <w:spacing w:val="5"/>
                <w:sz w:val="24"/>
                <w:szCs w:val="24"/>
                <w:lang w:val="en-GB"/>
              </w:rPr>
              <w:t xml:space="preserve"> </w:t>
            </w:r>
            <w:r w:rsidRPr="00F01203">
              <w:rPr>
                <w:rFonts w:asciiTheme="minorHAnsi" w:hAnsiTheme="minorHAnsi" w:cstheme="minorHAnsi"/>
                <w:color w:val="231F20"/>
                <w:w w:val="85"/>
                <w:sz w:val="24"/>
                <w:szCs w:val="24"/>
                <w:lang w:val="en-GB"/>
              </w:rPr>
              <w:t>collective</w:t>
            </w:r>
            <w:r w:rsidRPr="00F01203">
              <w:rPr>
                <w:rFonts w:asciiTheme="minorHAnsi" w:hAnsiTheme="minorHAnsi" w:cstheme="minorHAnsi"/>
                <w:color w:val="231F20"/>
                <w:spacing w:val="4"/>
                <w:sz w:val="24"/>
                <w:szCs w:val="24"/>
                <w:lang w:val="en-GB"/>
              </w:rPr>
              <w:t xml:space="preserve"> </w:t>
            </w:r>
            <w:r w:rsidRPr="00F01203">
              <w:rPr>
                <w:rFonts w:asciiTheme="minorHAnsi" w:hAnsiTheme="minorHAnsi" w:cstheme="minorHAnsi"/>
                <w:color w:val="231F20"/>
                <w:spacing w:val="-2"/>
                <w:w w:val="85"/>
                <w:sz w:val="24"/>
                <w:szCs w:val="24"/>
                <w:lang w:val="en-GB"/>
              </w:rPr>
              <w:t>bargaining</w:t>
            </w:r>
          </w:p>
        </w:tc>
        <w:tc>
          <w:tcPr>
            <w:tcW w:w="5971" w:type="dxa"/>
            <w:gridSpan w:val="2"/>
            <w:tcBorders>
              <w:left w:val="dotted" w:sz="2" w:space="0" w:color="231F20"/>
            </w:tcBorders>
          </w:tcPr>
          <w:p w14:paraId="1F18BC17" w14:textId="77777777"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Trade</w:t>
            </w:r>
            <w:r w:rsidRPr="00F01203">
              <w:rPr>
                <w:rFonts w:asciiTheme="minorHAnsi" w:hAnsiTheme="minorHAnsi" w:cstheme="minorHAnsi"/>
                <w:color w:val="231F20"/>
                <w:spacing w:val="-4"/>
                <w:sz w:val="24"/>
                <w:szCs w:val="24"/>
                <w:lang w:val="en-GB"/>
              </w:rPr>
              <w:t xml:space="preserve"> </w:t>
            </w:r>
            <w:r w:rsidRPr="00F01203">
              <w:rPr>
                <w:rFonts w:asciiTheme="minorHAnsi" w:hAnsiTheme="minorHAnsi" w:cstheme="minorHAnsi"/>
                <w:color w:val="231F20"/>
                <w:w w:val="85"/>
                <w:sz w:val="24"/>
                <w:szCs w:val="24"/>
                <w:lang w:val="en-GB"/>
              </w:rPr>
              <w:t>unions</w:t>
            </w:r>
            <w:r w:rsidRPr="00F01203">
              <w:rPr>
                <w:rFonts w:asciiTheme="minorHAnsi" w:hAnsiTheme="minorHAnsi" w:cstheme="minorHAnsi"/>
                <w:color w:val="231F20"/>
                <w:spacing w:val="-4"/>
                <w:sz w:val="24"/>
                <w:szCs w:val="24"/>
                <w:lang w:val="en-GB"/>
              </w:rPr>
              <w:t xml:space="preserve"> </w:t>
            </w:r>
            <w:r w:rsidRPr="00F01203">
              <w:rPr>
                <w:rFonts w:asciiTheme="minorHAnsi" w:hAnsiTheme="minorHAnsi" w:cstheme="minorHAnsi"/>
                <w:color w:val="231F20"/>
                <w:w w:val="85"/>
                <w:sz w:val="24"/>
                <w:szCs w:val="24"/>
                <w:lang w:val="en-GB"/>
              </w:rPr>
              <w:t>and</w:t>
            </w:r>
            <w:r w:rsidRPr="00F01203">
              <w:rPr>
                <w:rFonts w:asciiTheme="minorHAnsi" w:hAnsiTheme="minorHAnsi" w:cstheme="minorHAnsi"/>
                <w:color w:val="231F20"/>
                <w:spacing w:val="-4"/>
                <w:sz w:val="24"/>
                <w:szCs w:val="24"/>
                <w:lang w:val="en-GB"/>
              </w:rPr>
              <w:t xml:space="preserve"> </w:t>
            </w:r>
            <w:r w:rsidRPr="00F01203">
              <w:rPr>
                <w:rFonts w:asciiTheme="minorHAnsi" w:hAnsiTheme="minorHAnsi" w:cstheme="minorHAnsi"/>
                <w:color w:val="231F20"/>
                <w:w w:val="85"/>
                <w:sz w:val="24"/>
                <w:szCs w:val="24"/>
                <w:lang w:val="en-GB"/>
              </w:rPr>
              <w:t>employers/employers’</w:t>
            </w:r>
            <w:r w:rsidRPr="00F01203">
              <w:rPr>
                <w:rFonts w:asciiTheme="minorHAnsi" w:hAnsiTheme="minorHAnsi" w:cstheme="minorHAnsi"/>
                <w:color w:val="231F20"/>
                <w:spacing w:val="-4"/>
                <w:sz w:val="24"/>
                <w:szCs w:val="24"/>
                <w:lang w:val="en-GB"/>
              </w:rPr>
              <w:t xml:space="preserve"> </w:t>
            </w:r>
            <w:r w:rsidRPr="00F01203">
              <w:rPr>
                <w:rFonts w:asciiTheme="minorHAnsi" w:hAnsiTheme="minorHAnsi" w:cstheme="minorHAnsi"/>
                <w:color w:val="231F20"/>
                <w:spacing w:val="-2"/>
                <w:w w:val="85"/>
                <w:sz w:val="24"/>
                <w:szCs w:val="24"/>
                <w:lang w:val="en-GB"/>
              </w:rPr>
              <w:t>organisations</w:t>
            </w:r>
          </w:p>
        </w:tc>
      </w:tr>
      <w:tr w:rsidR="00B53FDA" w:rsidRPr="00203B80" w14:paraId="4047C88A" w14:textId="77777777" w:rsidTr="000238BD">
        <w:trPr>
          <w:trHeight w:val="323"/>
        </w:trPr>
        <w:tc>
          <w:tcPr>
            <w:tcW w:w="2985" w:type="dxa"/>
            <w:tcBorders>
              <w:right w:val="dotted" w:sz="2" w:space="0" w:color="231F20"/>
            </w:tcBorders>
            <w:shd w:val="clear" w:color="auto" w:fill="E6E7E8"/>
          </w:tcPr>
          <w:p w14:paraId="48499855" w14:textId="10608E87" w:rsidR="00B53FDA" w:rsidRPr="00F01203" w:rsidRDefault="00B53FDA" w:rsidP="00755845">
            <w:pPr>
              <w:pStyle w:val="TableParagraph"/>
              <w:spacing w:line="360" w:lineRule="auto"/>
              <w:ind w:left="79"/>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Predominant bargaining</w:t>
            </w:r>
            <w:r w:rsidRPr="00F01203">
              <w:rPr>
                <w:rFonts w:asciiTheme="minorHAnsi" w:hAnsiTheme="minorHAnsi" w:cstheme="minorHAnsi"/>
                <w:color w:val="231F20"/>
                <w:spacing w:val="13"/>
                <w:sz w:val="24"/>
                <w:szCs w:val="24"/>
                <w:lang w:val="en-GB"/>
              </w:rPr>
              <w:t xml:space="preserve"> </w:t>
            </w:r>
            <w:r w:rsidRPr="00F01203">
              <w:rPr>
                <w:rFonts w:asciiTheme="minorHAnsi" w:hAnsiTheme="minorHAnsi" w:cstheme="minorHAnsi"/>
                <w:color w:val="231F20"/>
                <w:spacing w:val="-2"/>
                <w:w w:val="85"/>
                <w:sz w:val="24"/>
                <w:szCs w:val="24"/>
                <w:lang w:val="en-GB"/>
              </w:rPr>
              <w:t>levels</w:t>
            </w:r>
          </w:p>
        </w:tc>
        <w:tc>
          <w:tcPr>
            <w:tcW w:w="5971" w:type="dxa"/>
            <w:gridSpan w:val="2"/>
            <w:tcBorders>
              <w:left w:val="dotted" w:sz="2" w:space="0" w:color="231F20"/>
            </w:tcBorders>
            <w:shd w:val="clear" w:color="auto" w:fill="E6E7E8"/>
          </w:tcPr>
          <w:p w14:paraId="4A65D922" w14:textId="77777777"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Bargaining</w:t>
            </w:r>
            <w:r w:rsidRPr="00F01203">
              <w:rPr>
                <w:rFonts w:asciiTheme="minorHAnsi" w:hAnsiTheme="minorHAnsi" w:cstheme="minorHAnsi"/>
                <w:color w:val="231F20"/>
                <w:spacing w:val="2"/>
                <w:sz w:val="24"/>
                <w:szCs w:val="24"/>
                <w:lang w:val="en-GB"/>
              </w:rPr>
              <w:t xml:space="preserve"> </w:t>
            </w:r>
            <w:r w:rsidRPr="00F01203">
              <w:rPr>
                <w:rFonts w:asciiTheme="minorHAnsi" w:hAnsiTheme="minorHAnsi" w:cstheme="minorHAnsi"/>
                <w:color w:val="231F20"/>
                <w:w w:val="85"/>
                <w:sz w:val="24"/>
                <w:szCs w:val="24"/>
                <w:lang w:val="en-GB"/>
              </w:rPr>
              <w:t>at</w:t>
            </w:r>
            <w:r w:rsidRPr="00F01203">
              <w:rPr>
                <w:rFonts w:asciiTheme="minorHAnsi" w:hAnsiTheme="minorHAnsi" w:cstheme="minorHAnsi"/>
                <w:color w:val="231F20"/>
                <w:spacing w:val="2"/>
                <w:sz w:val="24"/>
                <w:szCs w:val="24"/>
                <w:lang w:val="en-GB"/>
              </w:rPr>
              <w:t xml:space="preserve"> </w:t>
            </w:r>
            <w:r w:rsidRPr="00F01203">
              <w:rPr>
                <w:rFonts w:asciiTheme="minorHAnsi" w:hAnsiTheme="minorHAnsi" w:cstheme="minorHAnsi"/>
                <w:color w:val="231F20"/>
                <w:w w:val="85"/>
                <w:sz w:val="24"/>
                <w:szCs w:val="24"/>
                <w:lang w:val="en-GB"/>
              </w:rPr>
              <w:t>company</w:t>
            </w:r>
            <w:r w:rsidRPr="00F01203">
              <w:rPr>
                <w:rFonts w:asciiTheme="minorHAnsi" w:hAnsiTheme="minorHAnsi" w:cstheme="minorHAnsi"/>
                <w:color w:val="231F20"/>
                <w:spacing w:val="2"/>
                <w:sz w:val="24"/>
                <w:szCs w:val="24"/>
                <w:lang w:val="en-GB"/>
              </w:rPr>
              <w:t xml:space="preserve"> </w:t>
            </w:r>
            <w:r w:rsidRPr="00F01203">
              <w:rPr>
                <w:rFonts w:asciiTheme="minorHAnsi" w:hAnsiTheme="minorHAnsi" w:cstheme="minorHAnsi"/>
                <w:color w:val="231F20"/>
                <w:w w:val="85"/>
                <w:sz w:val="24"/>
                <w:szCs w:val="24"/>
                <w:lang w:val="en-GB"/>
              </w:rPr>
              <w:t>and</w:t>
            </w:r>
            <w:r w:rsidRPr="00F01203">
              <w:rPr>
                <w:rFonts w:asciiTheme="minorHAnsi" w:hAnsiTheme="minorHAnsi" w:cstheme="minorHAnsi"/>
                <w:color w:val="231F20"/>
                <w:spacing w:val="2"/>
                <w:sz w:val="24"/>
                <w:szCs w:val="24"/>
                <w:lang w:val="en-GB"/>
              </w:rPr>
              <w:t xml:space="preserve"> </w:t>
            </w:r>
            <w:r w:rsidRPr="00F01203">
              <w:rPr>
                <w:rFonts w:asciiTheme="minorHAnsi" w:hAnsiTheme="minorHAnsi" w:cstheme="minorHAnsi"/>
                <w:color w:val="231F20"/>
                <w:w w:val="85"/>
                <w:sz w:val="24"/>
                <w:szCs w:val="24"/>
                <w:lang w:val="en-GB"/>
              </w:rPr>
              <w:t>industry</w:t>
            </w:r>
            <w:r w:rsidRPr="00F01203">
              <w:rPr>
                <w:rFonts w:asciiTheme="minorHAnsi" w:hAnsiTheme="minorHAnsi" w:cstheme="minorHAnsi"/>
                <w:color w:val="231F20"/>
                <w:spacing w:val="3"/>
                <w:sz w:val="24"/>
                <w:szCs w:val="24"/>
                <w:lang w:val="en-GB"/>
              </w:rPr>
              <w:t xml:space="preserve"> </w:t>
            </w:r>
            <w:r w:rsidRPr="00F01203">
              <w:rPr>
                <w:rFonts w:asciiTheme="minorHAnsi" w:hAnsiTheme="minorHAnsi" w:cstheme="minorHAnsi"/>
                <w:color w:val="231F20"/>
                <w:w w:val="85"/>
                <w:sz w:val="24"/>
                <w:szCs w:val="24"/>
                <w:lang w:val="en-GB"/>
              </w:rPr>
              <w:t>level.</w:t>
            </w:r>
            <w:r w:rsidRPr="00F01203">
              <w:rPr>
                <w:rFonts w:asciiTheme="minorHAnsi" w:hAnsiTheme="minorHAnsi" w:cstheme="minorHAnsi"/>
                <w:color w:val="231F20"/>
                <w:spacing w:val="2"/>
                <w:sz w:val="24"/>
                <w:szCs w:val="24"/>
                <w:lang w:val="en-GB"/>
              </w:rPr>
              <w:t xml:space="preserve"> </w:t>
            </w:r>
            <w:r w:rsidRPr="00F01203">
              <w:rPr>
                <w:rFonts w:asciiTheme="minorHAnsi" w:hAnsiTheme="minorHAnsi" w:cstheme="minorHAnsi"/>
                <w:color w:val="231F20"/>
                <w:w w:val="85"/>
                <w:sz w:val="24"/>
                <w:szCs w:val="24"/>
                <w:lang w:val="en-GB"/>
              </w:rPr>
              <w:t>Company-level</w:t>
            </w:r>
            <w:r w:rsidRPr="00F01203">
              <w:rPr>
                <w:rFonts w:asciiTheme="minorHAnsi" w:hAnsiTheme="minorHAnsi" w:cstheme="minorHAnsi"/>
                <w:color w:val="231F20"/>
                <w:spacing w:val="2"/>
                <w:sz w:val="24"/>
                <w:szCs w:val="24"/>
                <w:lang w:val="en-GB"/>
              </w:rPr>
              <w:t xml:space="preserve"> </w:t>
            </w:r>
            <w:r w:rsidRPr="00F01203">
              <w:rPr>
                <w:rFonts w:asciiTheme="minorHAnsi" w:hAnsiTheme="minorHAnsi" w:cstheme="minorHAnsi"/>
                <w:color w:val="231F20"/>
                <w:w w:val="85"/>
                <w:sz w:val="24"/>
                <w:szCs w:val="24"/>
                <w:lang w:val="en-GB"/>
              </w:rPr>
              <w:t>bargaining</w:t>
            </w:r>
            <w:r w:rsidRPr="00F01203">
              <w:rPr>
                <w:rFonts w:asciiTheme="minorHAnsi" w:hAnsiTheme="minorHAnsi" w:cstheme="minorHAnsi"/>
                <w:color w:val="231F20"/>
                <w:spacing w:val="2"/>
                <w:sz w:val="24"/>
                <w:szCs w:val="24"/>
                <w:lang w:val="en-GB"/>
              </w:rPr>
              <w:t xml:space="preserve"> </w:t>
            </w:r>
            <w:r w:rsidRPr="00F01203">
              <w:rPr>
                <w:rFonts w:asciiTheme="minorHAnsi" w:hAnsiTheme="minorHAnsi" w:cstheme="minorHAnsi"/>
                <w:color w:val="231F20"/>
                <w:spacing w:val="-2"/>
                <w:w w:val="85"/>
                <w:sz w:val="24"/>
                <w:szCs w:val="24"/>
                <w:lang w:val="en-GB"/>
              </w:rPr>
              <w:t>prevails</w:t>
            </w:r>
          </w:p>
        </w:tc>
      </w:tr>
      <w:tr w:rsidR="00B53FDA" w:rsidRPr="00203B80" w14:paraId="50D19624" w14:textId="77777777" w:rsidTr="000238BD">
        <w:trPr>
          <w:trHeight w:val="323"/>
        </w:trPr>
        <w:tc>
          <w:tcPr>
            <w:tcW w:w="2985" w:type="dxa"/>
            <w:tcBorders>
              <w:right w:val="dotted" w:sz="2" w:space="0" w:color="231F20"/>
            </w:tcBorders>
            <w:shd w:val="clear" w:color="auto" w:fill="E6E7E8"/>
          </w:tcPr>
          <w:p w14:paraId="01960DB0" w14:textId="77777777" w:rsidR="00B53FDA" w:rsidRPr="00F01203" w:rsidRDefault="00B53FDA" w:rsidP="00755845">
            <w:pPr>
              <w:pStyle w:val="TableParagraph"/>
              <w:spacing w:before="51" w:line="360" w:lineRule="auto"/>
              <w:ind w:left="79"/>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Collective</w:t>
            </w:r>
            <w:r w:rsidRPr="00F01203">
              <w:rPr>
                <w:rFonts w:asciiTheme="minorHAnsi" w:hAnsiTheme="minorHAnsi" w:cstheme="minorHAnsi"/>
                <w:color w:val="231F20"/>
                <w:sz w:val="24"/>
                <w:szCs w:val="24"/>
                <w:lang w:val="en-GB"/>
              </w:rPr>
              <w:t xml:space="preserve"> </w:t>
            </w:r>
            <w:r w:rsidRPr="00F01203">
              <w:rPr>
                <w:rFonts w:asciiTheme="minorHAnsi" w:hAnsiTheme="minorHAnsi" w:cstheme="minorHAnsi"/>
                <w:color w:val="231F20"/>
                <w:w w:val="85"/>
                <w:sz w:val="24"/>
                <w:szCs w:val="24"/>
                <w:lang w:val="en-GB"/>
              </w:rPr>
              <w:t>bargaining</w:t>
            </w:r>
            <w:r w:rsidRPr="00F01203">
              <w:rPr>
                <w:rFonts w:asciiTheme="minorHAnsi" w:hAnsiTheme="minorHAnsi" w:cstheme="minorHAnsi"/>
                <w:color w:val="231F20"/>
                <w:sz w:val="24"/>
                <w:szCs w:val="24"/>
                <w:lang w:val="en-GB"/>
              </w:rPr>
              <w:t xml:space="preserve"> </w:t>
            </w:r>
            <w:r w:rsidRPr="00F01203">
              <w:rPr>
                <w:rFonts w:asciiTheme="minorHAnsi" w:hAnsiTheme="minorHAnsi" w:cstheme="minorHAnsi"/>
                <w:color w:val="231F20"/>
                <w:w w:val="85"/>
                <w:sz w:val="24"/>
                <w:szCs w:val="24"/>
                <w:lang w:val="en-GB"/>
              </w:rPr>
              <w:t>coverage</w:t>
            </w:r>
            <w:r w:rsidRPr="00F01203">
              <w:rPr>
                <w:rFonts w:asciiTheme="minorHAnsi" w:hAnsiTheme="minorHAnsi" w:cstheme="minorHAnsi"/>
                <w:color w:val="231F20"/>
                <w:sz w:val="24"/>
                <w:szCs w:val="24"/>
                <w:lang w:val="en-GB"/>
              </w:rPr>
              <w:t xml:space="preserve"> </w:t>
            </w:r>
            <w:r w:rsidRPr="00F01203">
              <w:rPr>
                <w:rFonts w:asciiTheme="minorHAnsi" w:hAnsiTheme="minorHAnsi" w:cstheme="minorHAnsi"/>
                <w:color w:val="231F20"/>
                <w:spacing w:val="-5"/>
                <w:w w:val="85"/>
                <w:sz w:val="24"/>
                <w:szCs w:val="24"/>
                <w:lang w:val="en-GB"/>
              </w:rPr>
              <w:t>(%)</w:t>
            </w:r>
          </w:p>
        </w:tc>
        <w:tc>
          <w:tcPr>
            <w:tcW w:w="2985" w:type="dxa"/>
            <w:tcBorders>
              <w:left w:val="dotted" w:sz="2" w:space="0" w:color="231F20"/>
              <w:right w:val="dotted" w:sz="2" w:space="0" w:color="231F20"/>
            </w:tcBorders>
            <w:shd w:val="clear" w:color="auto" w:fill="E6E7E8"/>
          </w:tcPr>
          <w:p w14:paraId="7497CECF" w14:textId="277BF4E0" w:rsidR="00B53FDA" w:rsidRPr="00F01203" w:rsidRDefault="00B53FDA" w:rsidP="00755845">
            <w:pPr>
              <w:pStyle w:val="TableParagraph"/>
              <w:spacing w:before="51"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spacing w:val="-4"/>
                <w:sz w:val="24"/>
                <w:szCs w:val="24"/>
                <w:lang w:val="en-GB"/>
              </w:rPr>
              <w:t>40</w:t>
            </w:r>
            <w:r w:rsidRPr="00F01203">
              <w:rPr>
                <w:rFonts w:asciiTheme="minorHAnsi" w:hAnsiTheme="minorHAnsi" w:cstheme="minorHAnsi"/>
                <w:color w:val="231F20"/>
                <w:spacing w:val="-6"/>
                <w:sz w:val="24"/>
                <w:szCs w:val="24"/>
                <w:lang w:val="en-GB"/>
              </w:rPr>
              <w:t xml:space="preserve"> </w:t>
            </w:r>
            <w:r w:rsidRPr="00F01203">
              <w:rPr>
                <w:rFonts w:asciiTheme="minorHAnsi" w:hAnsiTheme="minorHAnsi" w:cstheme="minorHAnsi"/>
                <w:color w:val="231F20"/>
                <w:spacing w:val="-2"/>
                <w:sz w:val="24"/>
                <w:szCs w:val="24"/>
                <w:lang w:val="en-GB"/>
              </w:rPr>
              <w:t>(2002), 29 (2012)</w:t>
            </w:r>
          </w:p>
        </w:tc>
        <w:tc>
          <w:tcPr>
            <w:tcW w:w="2986" w:type="dxa"/>
            <w:tcBorders>
              <w:left w:val="dotted" w:sz="2" w:space="0" w:color="231F20"/>
            </w:tcBorders>
            <w:shd w:val="clear" w:color="auto" w:fill="E6E7E8"/>
          </w:tcPr>
          <w:p w14:paraId="7EE5CC0A" w14:textId="4BC4244B" w:rsidR="00B53FDA" w:rsidRPr="00F01203" w:rsidRDefault="00B53FDA" w:rsidP="00755845">
            <w:pPr>
              <w:pStyle w:val="TableParagraph"/>
              <w:spacing w:before="51"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spacing w:val="-4"/>
                <w:sz w:val="24"/>
                <w:szCs w:val="24"/>
                <w:lang w:val="en-GB"/>
              </w:rPr>
              <w:t>27,8 (2018)</w:t>
            </w:r>
          </w:p>
        </w:tc>
      </w:tr>
      <w:tr w:rsidR="00B53FDA" w:rsidRPr="00203B80" w14:paraId="72740291" w14:textId="77777777" w:rsidTr="000238BD">
        <w:trPr>
          <w:trHeight w:val="487"/>
        </w:trPr>
        <w:tc>
          <w:tcPr>
            <w:tcW w:w="2985" w:type="dxa"/>
            <w:tcBorders>
              <w:right w:val="dotted" w:sz="2" w:space="0" w:color="231F20"/>
            </w:tcBorders>
          </w:tcPr>
          <w:p w14:paraId="1379BC52" w14:textId="77777777" w:rsidR="00B53FDA" w:rsidRPr="00F01203" w:rsidRDefault="00B53FDA" w:rsidP="00755845">
            <w:pPr>
              <w:pStyle w:val="TableParagraph"/>
              <w:spacing w:before="51" w:line="360" w:lineRule="auto"/>
              <w:ind w:left="79"/>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Extension mechanism (or functional</w:t>
            </w:r>
            <w:r w:rsidRPr="00F01203">
              <w:rPr>
                <w:rFonts w:asciiTheme="minorHAnsi" w:hAnsiTheme="minorHAnsi" w:cstheme="minorHAnsi"/>
                <w:color w:val="231F20"/>
                <w:sz w:val="24"/>
                <w:szCs w:val="24"/>
                <w:lang w:val="en-GB"/>
              </w:rPr>
              <w:t xml:space="preserve"> </w:t>
            </w:r>
            <w:r w:rsidRPr="00F01203">
              <w:rPr>
                <w:rFonts w:asciiTheme="minorHAnsi" w:hAnsiTheme="minorHAnsi" w:cstheme="minorHAnsi"/>
                <w:color w:val="231F20"/>
                <w:spacing w:val="-2"/>
                <w:w w:val="95"/>
                <w:sz w:val="24"/>
                <w:szCs w:val="24"/>
                <w:lang w:val="en-GB"/>
              </w:rPr>
              <w:t>equivalent)</w:t>
            </w:r>
          </w:p>
        </w:tc>
        <w:tc>
          <w:tcPr>
            <w:tcW w:w="2985" w:type="dxa"/>
            <w:tcBorders>
              <w:left w:val="dotted" w:sz="2" w:space="0" w:color="231F20"/>
              <w:right w:val="dotted" w:sz="2" w:space="0" w:color="231F20"/>
            </w:tcBorders>
          </w:tcPr>
          <w:p w14:paraId="403A5614" w14:textId="77777777" w:rsidR="00B53FDA" w:rsidRPr="00F01203" w:rsidRDefault="00B53FDA" w:rsidP="00755845">
            <w:pPr>
              <w:pStyle w:val="TableParagraph"/>
              <w:spacing w:before="51"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spacing w:val="-5"/>
                <w:sz w:val="24"/>
                <w:szCs w:val="24"/>
                <w:lang w:val="en-GB"/>
              </w:rPr>
              <w:t>No</w:t>
            </w:r>
          </w:p>
        </w:tc>
        <w:tc>
          <w:tcPr>
            <w:tcW w:w="2986" w:type="dxa"/>
            <w:tcBorders>
              <w:left w:val="dotted" w:sz="2" w:space="0" w:color="231F20"/>
            </w:tcBorders>
          </w:tcPr>
          <w:p w14:paraId="19051143" w14:textId="77777777" w:rsidR="00B53FDA" w:rsidRPr="00F01203" w:rsidRDefault="00B53FDA" w:rsidP="00755845">
            <w:pPr>
              <w:pStyle w:val="TableParagraph"/>
              <w:spacing w:before="51" w:line="360" w:lineRule="auto"/>
              <w:ind w:right="343"/>
              <w:contextualSpacing/>
              <w:jc w:val="both"/>
              <w:rPr>
                <w:rFonts w:asciiTheme="minorHAnsi" w:hAnsiTheme="minorHAnsi" w:cstheme="minorHAnsi"/>
                <w:sz w:val="24"/>
                <w:szCs w:val="24"/>
                <w:lang w:val="en-GB"/>
              </w:rPr>
            </w:pPr>
            <w:r w:rsidRPr="00F01203">
              <w:rPr>
                <w:rFonts w:asciiTheme="minorHAnsi" w:hAnsiTheme="minorHAnsi" w:cstheme="minorHAnsi"/>
                <w:color w:val="231F20"/>
                <w:spacing w:val="-2"/>
                <w:w w:val="90"/>
                <w:sz w:val="24"/>
                <w:szCs w:val="24"/>
                <w:lang w:val="en-GB"/>
              </w:rPr>
              <w:t>Yes,</w:t>
            </w:r>
            <w:r w:rsidRPr="00F01203">
              <w:rPr>
                <w:rFonts w:asciiTheme="minorHAnsi" w:hAnsiTheme="minorHAnsi" w:cstheme="minorHAnsi"/>
                <w:color w:val="231F20"/>
                <w:spacing w:val="-5"/>
                <w:w w:val="90"/>
                <w:sz w:val="24"/>
                <w:szCs w:val="24"/>
                <w:lang w:val="en-GB"/>
              </w:rPr>
              <w:t xml:space="preserve"> </w:t>
            </w:r>
            <w:r w:rsidRPr="00F01203">
              <w:rPr>
                <w:rFonts w:asciiTheme="minorHAnsi" w:hAnsiTheme="minorHAnsi" w:cstheme="minorHAnsi"/>
                <w:color w:val="231F20"/>
                <w:spacing w:val="-2"/>
                <w:w w:val="90"/>
                <w:sz w:val="24"/>
                <w:szCs w:val="24"/>
                <w:lang w:val="en-GB"/>
              </w:rPr>
              <w:t>introduced</w:t>
            </w:r>
            <w:r w:rsidRPr="00F01203">
              <w:rPr>
                <w:rFonts w:asciiTheme="minorHAnsi" w:hAnsiTheme="minorHAnsi" w:cstheme="minorHAnsi"/>
                <w:color w:val="231F20"/>
                <w:spacing w:val="-4"/>
                <w:w w:val="90"/>
                <w:sz w:val="24"/>
                <w:szCs w:val="24"/>
                <w:lang w:val="en-GB"/>
              </w:rPr>
              <w:t xml:space="preserve"> </w:t>
            </w:r>
            <w:r w:rsidRPr="00F01203">
              <w:rPr>
                <w:rFonts w:asciiTheme="minorHAnsi" w:hAnsiTheme="minorHAnsi" w:cstheme="minorHAnsi"/>
                <w:color w:val="231F20"/>
                <w:spacing w:val="-2"/>
                <w:w w:val="90"/>
                <w:sz w:val="24"/>
                <w:szCs w:val="24"/>
                <w:lang w:val="en-GB"/>
              </w:rPr>
              <w:t>in</w:t>
            </w:r>
            <w:r w:rsidRPr="00F01203">
              <w:rPr>
                <w:rFonts w:asciiTheme="minorHAnsi" w:hAnsiTheme="minorHAnsi" w:cstheme="minorHAnsi"/>
                <w:color w:val="231F20"/>
                <w:spacing w:val="-4"/>
                <w:w w:val="90"/>
                <w:sz w:val="24"/>
                <w:szCs w:val="24"/>
                <w:lang w:val="en-GB"/>
              </w:rPr>
              <w:t xml:space="preserve"> </w:t>
            </w:r>
            <w:r w:rsidRPr="00F01203">
              <w:rPr>
                <w:rFonts w:asciiTheme="minorHAnsi" w:hAnsiTheme="minorHAnsi" w:cstheme="minorHAnsi"/>
                <w:color w:val="231F20"/>
                <w:spacing w:val="-2"/>
                <w:w w:val="90"/>
                <w:sz w:val="24"/>
                <w:szCs w:val="24"/>
                <w:lang w:val="en-GB"/>
              </w:rPr>
              <w:t>2001</w:t>
            </w:r>
            <w:r w:rsidRPr="00F01203">
              <w:rPr>
                <w:rFonts w:asciiTheme="minorHAnsi" w:hAnsiTheme="minorHAnsi" w:cstheme="minorHAnsi"/>
                <w:color w:val="231F20"/>
                <w:spacing w:val="-4"/>
                <w:w w:val="90"/>
                <w:sz w:val="24"/>
                <w:szCs w:val="24"/>
                <w:lang w:val="en-GB"/>
              </w:rPr>
              <w:t xml:space="preserve"> </w:t>
            </w:r>
            <w:r w:rsidRPr="00F01203">
              <w:rPr>
                <w:rFonts w:asciiTheme="minorHAnsi" w:hAnsiTheme="minorHAnsi" w:cstheme="minorHAnsi"/>
                <w:color w:val="231F20"/>
                <w:spacing w:val="-2"/>
                <w:w w:val="90"/>
                <w:sz w:val="24"/>
                <w:szCs w:val="24"/>
                <w:lang w:val="en-GB"/>
              </w:rPr>
              <w:t>(but</w:t>
            </w:r>
            <w:r w:rsidRPr="00F01203">
              <w:rPr>
                <w:rFonts w:asciiTheme="minorHAnsi" w:hAnsiTheme="minorHAnsi" w:cstheme="minorHAnsi"/>
                <w:color w:val="231F20"/>
                <w:spacing w:val="-5"/>
                <w:w w:val="90"/>
                <w:sz w:val="24"/>
                <w:szCs w:val="24"/>
                <w:lang w:val="en-GB"/>
              </w:rPr>
              <w:t xml:space="preserve"> </w:t>
            </w:r>
            <w:r w:rsidRPr="00F01203">
              <w:rPr>
                <w:rFonts w:asciiTheme="minorHAnsi" w:hAnsiTheme="minorHAnsi" w:cstheme="minorHAnsi"/>
                <w:color w:val="231F20"/>
                <w:spacing w:val="-2"/>
                <w:w w:val="90"/>
                <w:sz w:val="24"/>
                <w:szCs w:val="24"/>
                <w:lang w:val="en-GB"/>
              </w:rPr>
              <w:t>very</w:t>
            </w:r>
            <w:r w:rsidRPr="00F01203">
              <w:rPr>
                <w:rFonts w:asciiTheme="minorHAnsi" w:hAnsiTheme="minorHAnsi" w:cstheme="minorHAnsi"/>
                <w:color w:val="231F20"/>
                <w:sz w:val="24"/>
                <w:szCs w:val="24"/>
                <w:lang w:val="en-GB"/>
              </w:rPr>
              <w:t xml:space="preserve"> </w:t>
            </w:r>
            <w:r w:rsidRPr="00F01203">
              <w:rPr>
                <w:rFonts w:asciiTheme="minorHAnsi" w:hAnsiTheme="minorHAnsi" w:cstheme="minorHAnsi"/>
                <w:color w:val="231F20"/>
                <w:spacing w:val="-2"/>
                <w:sz w:val="24"/>
                <w:szCs w:val="24"/>
                <w:lang w:val="en-GB"/>
              </w:rPr>
              <w:t>rarely</w:t>
            </w:r>
            <w:r w:rsidRPr="00F01203">
              <w:rPr>
                <w:rFonts w:asciiTheme="minorHAnsi" w:hAnsiTheme="minorHAnsi" w:cstheme="minorHAnsi"/>
                <w:color w:val="231F20"/>
                <w:spacing w:val="-8"/>
                <w:sz w:val="24"/>
                <w:szCs w:val="24"/>
                <w:lang w:val="en-GB"/>
              </w:rPr>
              <w:t xml:space="preserve"> </w:t>
            </w:r>
            <w:r w:rsidRPr="00F01203">
              <w:rPr>
                <w:rFonts w:asciiTheme="minorHAnsi" w:hAnsiTheme="minorHAnsi" w:cstheme="minorHAnsi"/>
                <w:color w:val="231F20"/>
                <w:spacing w:val="-2"/>
                <w:sz w:val="24"/>
                <w:szCs w:val="24"/>
                <w:lang w:val="en-GB"/>
              </w:rPr>
              <w:t>used</w:t>
            </w:r>
            <w:r w:rsidRPr="00F01203">
              <w:rPr>
                <w:rFonts w:asciiTheme="minorHAnsi" w:hAnsiTheme="minorHAnsi" w:cstheme="minorHAnsi"/>
                <w:color w:val="231F20"/>
                <w:spacing w:val="-8"/>
                <w:sz w:val="24"/>
                <w:szCs w:val="24"/>
                <w:lang w:val="en-GB"/>
              </w:rPr>
              <w:t xml:space="preserve"> </w:t>
            </w:r>
            <w:r w:rsidRPr="00F01203">
              <w:rPr>
                <w:rFonts w:asciiTheme="minorHAnsi" w:hAnsiTheme="minorHAnsi" w:cstheme="minorHAnsi"/>
                <w:color w:val="231F20"/>
                <w:spacing w:val="-2"/>
                <w:sz w:val="24"/>
                <w:szCs w:val="24"/>
                <w:lang w:val="en-GB"/>
              </w:rPr>
              <w:t>in</w:t>
            </w:r>
            <w:r w:rsidRPr="00F01203">
              <w:rPr>
                <w:rFonts w:asciiTheme="minorHAnsi" w:hAnsiTheme="minorHAnsi" w:cstheme="minorHAnsi"/>
                <w:color w:val="231F20"/>
                <w:spacing w:val="-8"/>
                <w:sz w:val="24"/>
                <w:szCs w:val="24"/>
                <w:lang w:val="en-GB"/>
              </w:rPr>
              <w:t xml:space="preserve"> </w:t>
            </w:r>
            <w:r w:rsidRPr="00F01203">
              <w:rPr>
                <w:rFonts w:asciiTheme="minorHAnsi" w:hAnsiTheme="minorHAnsi" w:cstheme="minorHAnsi"/>
                <w:color w:val="231F20"/>
                <w:spacing w:val="-2"/>
                <w:sz w:val="24"/>
                <w:szCs w:val="24"/>
                <w:lang w:val="en-GB"/>
              </w:rPr>
              <w:t>practice)</w:t>
            </w:r>
          </w:p>
        </w:tc>
      </w:tr>
      <w:tr w:rsidR="00B53FDA" w:rsidRPr="00203B80" w14:paraId="32823431" w14:textId="77777777" w:rsidTr="000238BD">
        <w:trPr>
          <w:trHeight w:val="323"/>
        </w:trPr>
        <w:tc>
          <w:tcPr>
            <w:tcW w:w="2985" w:type="dxa"/>
            <w:tcBorders>
              <w:right w:val="dotted" w:sz="2" w:space="0" w:color="231F20"/>
            </w:tcBorders>
            <w:shd w:val="clear" w:color="auto" w:fill="E6E7E8"/>
          </w:tcPr>
          <w:p w14:paraId="67935C99" w14:textId="77777777" w:rsidR="00B53FDA" w:rsidRPr="00F01203" w:rsidRDefault="00B53FDA" w:rsidP="00755845">
            <w:pPr>
              <w:pStyle w:val="TableParagraph"/>
              <w:spacing w:line="360" w:lineRule="auto"/>
              <w:ind w:left="79"/>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Trade</w:t>
            </w:r>
            <w:r w:rsidRPr="00F01203">
              <w:rPr>
                <w:rFonts w:asciiTheme="minorHAnsi" w:hAnsiTheme="minorHAnsi" w:cstheme="minorHAnsi"/>
                <w:color w:val="231F20"/>
                <w:spacing w:val="-3"/>
                <w:sz w:val="24"/>
                <w:szCs w:val="24"/>
                <w:lang w:val="en-GB"/>
              </w:rPr>
              <w:t xml:space="preserve"> </w:t>
            </w:r>
            <w:r w:rsidRPr="00F01203">
              <w:rPr>
                <w:rFonts w:asciiTheme="minorHAnsi" w:hAnsiTheme="minorHAnsi" w:cstheme="minorHAnsi"/>
                <w:color w:val="231F20"/>
                <w:w w:val="85"/>
                <w:sz w:val="24"/>
                <w:szCs w:val="24"/>
                <w:lang w:val="en-GB"/>
              </w:rPr>
              <w:t>union</w:t>
            </w:r>
            <w:r w:rsidRPr="00F01203">
              <w:rPr>
                <w:rFonts w:asciiTheme="minorHAnsi" w:hAnsiTheme="minorHAnsi" w:cstheme="minorHAnsi"/>
                <w:color w:val="231F20"/>
                <w:spacing w:val="-3"/>
                <w:sz w:val="24"/>
                <w:szCs w:val="24"/>
                <w:lang w:val="en-GB"/>
              </w:rPr>
              <w:t xml:space="preserve"> </w:t>
            </w:r>
            <w:r w:rsidRPr="00F01203">
              <w:rPr>
                <w:rFonts w:asciiTheme="minorHAnsi" w:hAnsiTheme="minorHAnsi" w:cstheme="minorHAnsi"/>
                <w:color w:val="231F20"/>
                <w:w w:val="85"/>
                <w:sz w:val="24"/>
                <w:szCs w:val="24"/>
                <w:lang w:val="en-GB"/>
              </w:rPr>
              <w:t>density</w:t>
            </w:r>
            <w:r w:rsidRPr="00F01203">
              <w:rPr>
                <w:rFonts w:asciiTheme="minorHAnsi" w:hAnsiTheme="minorHAnsi" w:cstheme="minorHAnsi"/>
                <w:color w:val="231F20"/>
                <w:spacing w:val="-3"/>
                <w:sz w:val="24"/>
                <w:szCs w:val="24"/>
                <w:lang w:val="en-GB"/>
              </w:rPr>
              <w:t xml:space="preserve"> </w:t>
            </w:r>
            <w:r w:rsidRPr="00F01203">
              <w:rPr>
                <w:rFonts w:asciiTheme="minorHAnsi" w:hAnsiTheme="minorHAnsi" w:cstheme="minorHAnsi"/>
                <w:color w:val="231F20"/>
                <w:spacing w:val="-5"/>
                <w:w w:val="85"/>
                <w:sz w:val="24"/>
                <w:szCs w:val="24"/>
                <w:lang w:val="en-GB"/>
              </w:rPr>
              <w:t>(%)</w:t>
            </w:r>
          </w:p>
        </w:tc>
        <w:tc>
          <w:tcPr>
            <w:tcW w:w="2985" w:type="dxa"/>
            <w:tcBorders>
              <w:left w:val="dotted" w:sz="2" w:space="0" w:color="231F20"/>
              <w:right w:val="dotted" w:sz="2" w:space="0" w:color="231F20"/>
            </w:tcBorders>
            <w:shd w:val="clear" w:color="auto" w:fill="E6E7E8"/>
          </w:tcPr>
          <w:p w14:paraId="1B545764" w14:textId="6B4D86C8"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spacing w:val="-4"/>
                <w:sz w:val="24"/>
                <w:szCs w:val="24"/>
                <w:lang w:val="en-GB"/>
              </w:rPr>
              <w:t>26</w:t>
            </w:r>
            <w:r w:rsidRPr="00F01203">
              <w:rPr>
                <w:rFonts w:asciiTheme="minorHAnsi" w:hAnsiTheme="minorHAnsi" w:cstheme="minorHAnsi"/>
                <w:color w:val="231F20"/>
                <w:spacing w:val="-6"/>
                <w:sz w:val="24"/>
                <w:szCs w:val="24"/>
                <w:lang w:val="en-GB"/>
              </w:rPr>
              <w:t xml:space="preserve"> </w:t>
            </w:r>
            <w:r w:rsidRPr="00F01203">
              <w:rPr>
                <w:rFonts w:asciiTheme="minorHAnsi" w:hAnsiTheme="minorHAnsi" w:cstheme="minorHAnsi"/>
                <w:color w:val="231F20"/>
                <w:spacing w:val="-2"/>
                <w:sz w:val="24"/>
                <w:szCs w:val="24"/>
                <w:lang w:val="en-GB"/>
              </w:rPr>
              <w:t>(2002), 16 (2012)</w:t>
            </w:r>
          </w:p>
        </w:tc>
        <w:tc>
          <w:tcPr>
            <w:tcW w:w="2986" w:type="dxa"/>
            <w:tcBorders>
              <w:left w:val="dotted" w:sz="2" w:space="0" w:color="231F20"/>
            </w:tcBorders>
            <w:shd w:val="clear" w:color="auto" w:fill="E6E7E8"/>
          </w:tcPr>
          <w:p w14:paraId="0DA949D5" w14:textId="2BCEFEEE"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w w:val="90"/>
                <w:sz w:val="24"/>
                <w:szCs w:val="24"/>
                <w:lang w:val="en-GB"/>
              </w:rPr>
              <w:t>15,3 (2016)</w:t>
            </w:r>
          </w:p>
        </w:tc>
      </w:tr>
      <w:tr w:rsidR="00B53FDA" w:rsidRPr="00203B80" w14:paraId="4ED817EF" w14:textId="77777777" w:rsidTr="000238BD">
        <w:trPr>
          <w:trHeight w:val="310"/>
        </w:trPr>
        <w:tc>
          <w:tcPr>
            <w:tcW w:w="2985" w:type="dxa"/>
            <w:tcBorders>
              <w:right w:val="dotted" w:sz="2" w:space="0" w:color="231F20"/>
            </w:tcBorders>
          </w:tcPr>
          <w:p w14:paraId="4818FE0A" w14:textId="77777777" w:rsidR="00B53FDA" w:rsidRPr="00F01203" w:rsidRDefault="00B53FDA" w:rsidP="00755845">
            <w:pPr>
              <w:pStyle w:val="TableParagraph"/>
              <w:spacing w:line="360" w:lineRule="auto"/>
              <w:ind w:left="79"/>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5"/>
                <w:sz w:val="24"/>
                <w:szCs w:val="24"/>
                <w:lang w:val="en-GB"/>
              </w:rPr>
              <w:t>Employers’</w:t>
            </w:r>
            <w:r w:rsidRPr="00F01203">
              <w:rPr>
                <w:rFonts w:asciiTheme="minorHAnsi" w:hAnsiTheme="minorHAnsi" w:cstheme="minorHAnsi"/>
                <w:color w:val="231F20"/>
                <w:spacing w:val="-4"/>
                <w:w w:val="85"/>
                <w:sz w:val="24"/>
                <w:szCs w:val="24"/>
                <w:lang w:val="en-GB"/>
              </w:rPr>
              <w:t xml:space="preserve"> </w:t>
            </w:r>
            <w:r w:rsidRPr="00F01203">
              <w:rPr>
                <w:rFonts w:asciiTheme="minorHAnsi" w:hAnsiTheme="minorHAnsi" w:cstheme="minorHAnsi"/>
                <w:color w:val="231F20"/>
                <w:w w:val="85"/>
                <w:sz w:val="24"/>
                <w:szCs w:val="24"/>
                <w:lang w:val="en-GB"/>
              </w:rPr>
              <w:t>association</w:t>
            </w:r>
            <w:r w:rsidRPr="00F01203">
              <w:rPr>
                <w:rFonts w:asciiTheme="minorHAnsi" w:hAnsiTheme="minorHAnsi" w:cstheme="minorHAnsi"/>
                <w:color w:val="231F20"/>
                <w:spacing w:val="-3"/>
                <w:w w:val="85"/>
                <w:sz w:val="24"/>
                <w:szCs w:val="24"/>
                <w:lang w:val="en-GB"/>
              </w:rPr>
              <w:t xml:space="preserve"> </w:t>
            </w:r>
            <w:r w:rsidRPr="00F01203">
              <w:rPr>
                <w:rFonts w:asciiTheme="minorHAnsi" w:hAnsiTheme="minorHAnsi" w:cstheme="minorHAnsi"/>
                <w:color w:val="231F20"/>
                <w:w w:val="85"/>
                <w:sz w:val="24"/>
                <w:szCs w:val="24"/>
                <w:lang w:val="en-GB"/>
              </w:rPr>
              <w:t>rate</w:t>
            </w:r>
            <w:r w:rsidRPr="00F01203">
              <w:rPr>
                <w:rFonts w:asciiTheme="minorHAnsi" w:hAnsiTheme="minorHAnsi" w:cstheme="minorHAnsi"/>
                <w:color w:val="231F20"/>
                <w:spacing w:val="-3"/>
                <w:w w:val="85"/>
                <w:sz w:val="24"/>
                <w:szCs w:val="24"/>
                <w:lang w:val="en-GB"/>
              </w:rPr>
              <w:t xml:space="preserve"> </w:t>
            </w:r>
            <w:r w:rsidRPr="00F01203">
              <w:rPr>
                <w:rFonts w:asciiTheme="minorHAnsi" w:hAnsiTheme="minorHAnsi" w:cstheme="minorHAnsi"/>
                <w:color w:val="231F20"/>
                <w:spacing w:val="-5"/>
                <w:w w:val="85"/>
                <w:sz w:val="24"/>
                <w:szCs w:val="24"/>
                <w:lang w:val="en-GB"/>
              </w:rPr>
              <w:t>(%)</w:t>
            </w:r>
          </w:p>
        </w:tc>
        <w:tc>
          <w:tcPr>
            <w:tcW w:w="2985" w:type="dxa"/>
            <w:tcBorders>
              <w:left w:val="dotted" w:sz="2" w:space="0" w:color="231F20"/>
              <w:right w:val="dotted" w:sz="2" w:space="0" w:color="231F20"/>
            </w:tcBorders>
          </w:tcPr>
          <w:p w14:paraId="01D68EFE" w14:textId="35AF3CDC"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w w:val="80"/>
                <w:sz w:val="24"/>
                <w:szCs w:val="24"/>
                <w:lang w:val="en-GB"/>
              </w:rPr>
              <w:t>50 (2012)</w:t>
            </w:r>
          </w:p>
        </w:tc>
        <w:tc>
          <w:tcPr>
            <w:tcW w:w="2986" w:type="dxa"/>
            <w:tcBorders>
              <w:left w:val="dotted" w:sz="2" w:space="0" w:color="231F20"/>
            </w:tcBorders>
          </w:tcPr>
          <w:p w14:paraId="1F385315" w14:textId="7174912F" w:rsidR="00B53FDA" w:rsidRPr="00F01203" w:rsidRDefault="00B53FDA" w:rsidP="00755845">
            <w:pPr>
              <w:pStyle w:val="TableParagraph"/>
              <w:spacing w:line="360" w:lineRule="auto"/>
              <w:contextualSpacing/>
              <w:jc w:val="both"/>
              <w:rPr>
                <w:rFonts w:asciiTheme="minorHAnsi" w:hAnsiTheme="minorHAnsi" w:cstheme="minorHAnsi"/>
                <w:sz w:val="24"/>
                <w:szCs w:val="24"/>
                <w:lang w:val="en-GB"/>
              </w:rPr>
            </w:pPr>
            <w:r w:rsidRPr="00F01203">
              <w:rPr>
                <w:rFonts w:asciiTheme="minorHAnsi" w:hAnsiTheme="minorHAnsi" w:cstheme="minorHAnsi"/>
                <w:color w:val="231F20"/>
                <w:spacing w:val="-4"/>
                <w:sz w:val="24"/>
                <w:szCs w:val="24"/>
                <w:lang w:val="en-GB"/>
              </w:rPr>
              <w:t>55,3 (2016)</w:t>
            </w:r>
          </w:p>
        </w:tc>
      </w:tr>
    </w:tbl>
    <w:p w14:paraId="531B0B5B" w14:textId="1C707039" w:rsidR="00B53FDA" w:rsidRPr="00F01203" w:rsidRDefault="00B53FDA" w:rsidP="00755845">
      <w:pPr>
        <w:spacing w:before="127" w:line="360" w:lineRule="auto"/>
        <w:ind w:left="190"/>
        <w:contextualSpacing/>
        <w:jc w:val="both"/>
        <w:rPr>
          <w:rFonts w:cstheme="minorHAnsi"/>
          <w:sz w:val="24"/>
          <w:szCs w:val="24"/>
          <w:lang w:val="en-GB"/>
        </w:rPr>
      </w:pPr>
      <w:r w:rsidRPr="00F01203">
        <w:rPr>
          <w:rFonts w:cstheme="minorHAnsi"/>
          <w:color w:val="231F20"/>
          <w:w w:val="85"/>
          <w:sz w:val="24"/>
          <w:szCs w:val="24"/>
          <w:lang w:val="en-GB"/>
        </w:rPr>
        <w:t>Source:</w:t>
      </w:r>
      <w:r w:rsidRPr="00F01203">
        <w:rPr>
          <w:rFonts w:cstheme="minorHAnsi"/>
          <w:color w:val="231F20"/>
          <w:spacing w:val="-2"/>
          <w:sz w:val="24"/>
          <w:szCs w:val="24"/>
          <w:lang w:val="en-GB"/>
        </w:rPr>
        <w:t xml:space="preserve"> OECD and Kirov (2019).</w:t>
      </w:r>
    </w:p>
    <w:p w14:paraId="619A995A" w14:textId="77777777" w:rsidR="00BC5D15" w:rsidRDefault="00BC5D15" w:rsidP="00755845">
      <w:pPr>
        <w:spacing w:line="360" w:lineRule="auto"/>
        <w:ind w:firstLine="709"/>
        <w:contextualSpacing/>
        <w:jc w:val="both"/>
        <w:rPr>
          <w:rFonts w:cstheme="minorHAnsi"/>
          <w:sz w:val="24"/>
          <w:szCs w:val="24"/>
          <w:lang w:val="en-GB"/>
        </w:rPr>
      </w:pPr>
    </w:p>
    <w:p w14:paraId="47920098" w14:textId="68E0CBFA" w:rsidR="0053307E" w:rsidRPr="00203B80" w:rsidRDefault="003B34DB" w:rsidP="00755845">
      <w:pPr>
        <w:spacing w:line="360" w:lineRule="auto"/>
        <w:ind w:firstLine="709"/>
        <w:contextualSpacing/>
        <w:jc w:val="both"/>
        <w:rPr>
          <w:rFonts w:cstheme="minorHAnsi"/>
          <w:sz w:val="24"/>
          <w:szCs w:val="24"/>
          <w:lang w:val="en-GB"/>
        </w:rPr>
      </w:pPr>
      <w:r w:rsidRPr="0011716C">
        <w:rPr>
          <w:rFonts w:cstheme="minorHAnsi"/>
          <w:sz w:val="24"/>
          <w:szCs w:val="24"/>
          <w:lang w:val="en-GB"/>
        </w:rPr>
        <w:t>Trade</w:t>
      </w:r>
      <w:r w:rsidRPr="00203B80">
        <w:rPr>
          <w:rFonts w:cstheme="minorHAnsi"/>
          <w:sz w:val="24"/>
          <w:szCs w:val="24"/>
          <w:lang w:val="en-GB"/>
        </w:rPr>
        <w:t xml:space="preserve"> union </w:t>
      </w:r>
      <w:r w:rsidR="001F1C88" w:rsidRPr="00203B80">
        <w:rPr>
          <w:rFonts w:cstheme="minorHAnsi"/>
          <w:sz w:val="24"/>
          <w:szCs w:val="24"/>
          <w:lang w:val="en-GB"/>
        </w:rPr>
        <w:t>membership</w:t>
      </w:r>
      <w:r w:rsidRPr="00203B80">
        <w:rPr>
          <w:rFonts w:cstheme="minorHAnsi"/>
          <w:sz w:val="24"/>
          <w:szCs w:val="24"/>
          <w:lang w:val="en-GB"/>
        </w:rPr>
        <w:t xml:space="preserve"> in Bulgaria has been declinin</w:t>
      </w:r>
      <w:r w:rsidR="00CB6023">
        <w:rPr>
          <w:rFonts w:cstheme="minorHAnsi"/>
          <w:sz w:val="24"/>
          <w:szCs w:val="24"/>
          <w:lang w:val="en-GB"/>
        </w:rPr>
        <w:t>g since the 1990s and currently</w:t>
      </w:r>
      <w:r w:rsidRPr="00203B80">
        <w:rPr>
          <w:rFonts w:cstheme="minorHAnsi"/>
          <w:sz w:val="24"/>
          <w:szCs w:val="24"/>
          <w:lang w:val="en-GB"/>
        </w:rPr>
        <w:t xml:space="preserve"> there are </w:t>
      </w:r>
      <w:r w:rsidR="001F1C88" w:rsidRPr="00203B80">
        <w:rPr>
          <w:rFonts w:cstheme="minorHAnsi"/>
          <w:sz w:val="24"/>
          <w:szCs w:val="24"/>
          <w:lang w:val="en-GB"/>
        </w:rPr>
        <w:t>approximately</w:t>
      </w:r>
      <w:r w:rsidR="00CB6023">
        <w:rPr>
          <w:rFonts w:cstheme="minorHAnsi"/>
          <w:sz w:val="24"/>
          <w:szCs w:val="24"/>
          <w:lang w:val="en-GB"/>
        </w:rPr>
        <w:t xml:space="preserve"> 360 000 trade union</w:t>
      </w:r>
      <w:r w:rsidRPr="00203B80">
        <w:rPr>
          <w:rFonts w:cstheme="minorHAnsi"/>
          <w:sz w:val="24"/>
          <w:szCs w:val="24"/>
          <w:lang w:val="en-GB"/>
        </w:rPr>
        <w:t xml:space="preserve"> </w:t>
      </w:r>
      <w:r w:rsidR="00AE1999" w:rsidRPr="00203B80">
        <w:rPr>
          <w:rFonts w:cstheme="minorHAnsi"/>
          <w:sz w:val="24"/>
          <w:szCs w:val="24"/>
          <w:lang w:val="en-GB"/>
        </w:rPr>
        <w:t xml:space="preserve">members </w:t>
      </w:r>
      <w:r w:rsidRPr="00203B80">
        <w:rPr>
          <w:rFonts w:cstheme="minorHAnsi"/>
          <w:sz w:val="24"/>
          <w:szCs w:val="24"/>
          <w:lang w:val="en-GB"/>
        </w:rPr>
        <w:t>in Bulgaria</w:t>
      </w:r>
      <w:r w:rsidR="00B53FDA" w:rsidRPr="00203B80">
        <w:rPr>
          <w:rFonts w:cstheme="minorHAnsi"/>
          <w:sz w:val="24"/>
          <w:szCs w:val="24"/>
          <w:lang w:val="en-GB"/>
        </w:rPr>
        <w:t>. Union density reaches</w:t>
      </w:r>
      <w:r w:rsidR="00244C6B" w:rsidRPr="00203B80">
        <w:rPr>
          <w:rFonts w:cstheme="minorHAnsi"/>
          <w:sz w:val="24"/>
          <w:szCs w:val="24"/>
          <w:lang w:val="en-GB"/>
        </w:rPr>
        <w:t xml:space="preserve"> </w:t>
      </w:r>
      <w:r w:rsidRPr="00203B80">
        <w:rPr>
          <w:rFonts w:cstheme="minorHAnsi"/>
          <w:sz w:val="24"/>
          <w:szCs w:val="24"/>
          <w:lang w:val="en-GB"/>
        </w:rPr>
        <w:t>around 16%</w:t>
      </w:r>
      <w:r w:rsidR="00B53FDA" w:rsidRPr="00203B80">
        <w:rPr>
          <w:rFonts w:cstheme="minorHAnsi"/>
          <w:sz w:val="24"/>
          <w:szCs w:val="24"/>
          <w:lang w:val="en-GB"/>
        </w:rPr>
        <w:t>,</w:t>
      </w:r>
      <w:r w:rsidRPr="00203B80">
        <w:rPr>
          <w:rFonts w:cstheme="minorHAnsi"/>
          <w:sz w:val="24"/>
          <w:szCs w:val="24"/>
          <w:lang w:val="en-GB"/>
        </w:rPr>
        <w:t xml:space="preserve"> based on data from the 2016 National census. </w:t>
      </w:r>
      <w:r w:rsidR="00244C6B" w:rsidRPr="00203B80">
        <w:rPr>
          <w:rFonts w:cstheme="minorHAnsi"/>
          <w:sz w:val="24"/>
          <w:szCs w:val="24"/>
          <w:lang w:val="en-GB"/>
        </w:rPr>
        <w:t>There are two major national trade unions with EU representation and affiliation to the European Trade Union Confederation (ETUC</w:t>
      </w:r>
      <w:r w:rsidR="0053307E" w:rsidRPr="00203B80">
        <w:rPr>
          <w:rFonts w:cstheme="minorHAnsi"/>
          <w:sz w:val="24"/>
          <w:szCs w:val="24"/>
          <w:lang w:val="en-GB"/>
        </w:rPr>
        <w:t>, see ETUC</w:t>
      </w:r>
      <w:r w:rsidR="001649CE">
        <w:rPr>
          <w:rFonts w:cstheme="minorHAnsi"/>
          <w:sz w:val="24"/>
          <w:szCs w:val="24"/>
          <w:lang w:val="en-GB"/>
        </w:rPr>
        <w:t>,</w:t>
      </w:r>
      <w:r w:rsidR="0053307E" w:rsidRPr="00203B80">
        <w:rPr>
          <w:rFonts w:cstheme="minorHAnsi"/>
          <w:sz w:val="24"/>
          <w:szCs w:val="24"/>
          <w:lang w:val="en-GB"/>
        </w:rPr>
        <w:t xml:space="preserve"> 2019</w:t>
      </w:r>
      <w:r w:rsidR="00244C6B" w:rsidRPr="00203B80">
        <w:rPr>
          <w:rFonts w:cstheme="minorHAnsi"/>
          <w:sz w:val="24"/>
          <w:szCs w:val="24"/>
          <w:lang w:val="en-GB"/>
        </w:rPr>
        <w:t>)</w:t>
      </w:r>
      <w:r w:rsidR="0053307E" w:rsidRPr="00203B80">
        <w:rPr>
          <w:rFonts w:cstheme="minorHAnsi"/>
          <w:sz w:val="24"/>
          <w:szCs w:val="24"/>
          <w:lang w:val="en-GB"/>
        </w:rPr>
        <w:t>:</w:t>
      </w:r>
    </w:p>
    <w:p w14:paraId="2710AF6F" w14:textId="13EDEC5C" w:rsidR="0053307E" w:rsidRPr="00203B80" w:rsidRDefault="00244C6B" w:rsidP="00755845">
      <w:pPr>
        <w:pStyle w:val="Odsekzoznamu"/>
        <w:numPr>
          <w:ilvl w:val="0"/>
          <w:numId w:val="11"/>
        </w:numPr>
        <w:spacing w:line="360" w:lineRule="auto"/>
        <w:jc w:val="both"/>
        <w:rPr>
          <w:rFonts w:cstheme="minorHAnsi"/>
          <w:sz w:val="24"/>
          <w:szCs w:val="24"/>
          <w:lang w:val="en-GB"/>
        </w:rPr>
      </w:pPr>
      <w:r w:rsidRPr="00203B80">
        <w:rPr>
          <w:rFonts w:cstheme="minorHAnsi"/>
          <w:sz w:val="24"/>
          <w:szCs w:val="24"/>
          <w:lang w:val="en-GB"/>
        </w:rPr>
        <w:t xml:space="preserve">The </w:t>
      </w:r>
      <w:r w:rsidRPr="00203B80">
        <w:rPr>
          <w:rFonts w:cstheme="minorHAnsi"/>
          <w:b/>
          <w:bCs/>
          <w:sz w:val="24"/>
          <w:szCs w:val="24"/>
          <w:lang w:val="en-GB"/>
        </w:rPr>
        <w:t>Confederation of Independent Trade Union of Bulgaria (CITUB)</w:t>
      </w:r>
      <w:r w:rsidRPr="00203B80">
        <w:rPr>
          <w:rFonts w:cstheme="minorHAnsi"/>
          <w:sz w:val="24"/>
          <w:szCs w:val="24"/>
          <w:lang w:val="en-GB"/>
        </w:rPr>
        <w:t xml:space="preserve"> is the largest </w:t>
      </w:r>
      <w:r w:rsidR="00B31201" w:rsidRPr="00203B80">
        <w:rPr>
          <w:rFonts w:cstheme="minorHAnsi"/>
          <w:sz w:val="24"/>
          <w:szCs w:val="24"/>
          <w:lang w:val="en-GB"/>
        </w:rPr>
        <w:t xml:space="preserve">trade </w:t>
      </w:r>
      <w:r w:rsidRPr="00203B80">
        <w:rPr>
          <w:rFonts w:cstheme="minorHAnsi"/>
          <w:sz w:val="24"/>
          <w:szCs w:val="24"/>
          <w:lang w:val="en-GB"/>
        </w:rPr>
        <w:t xml:space="preserve">union in Bulgaria, with membership </w:t>
      </w:r>
      <w:r w:rsidR="00B31201" w:rsidRPr="00203B80">
        <w:rPr>
          <w:rFonts w:cstheme="minorHAnsi"/>
          <w:sz w:val="24"/>
          <w:szCs w:val="24"/>
          <w:lang w:val="en-GB"/>
        </w:rPr>
        <w:t xml:space="preserve">of around 270 000 workers, </w:t>
      </w:r>
      <w:r w:rsidR="001F1C88" w:rsidRPr="00203B80">
        <w:rPr>
          <w:rFonts w:cstheme="minorHAnsi"/>
          <w:sz w:val="24"/>
          <w:szCs w:val="24"/>
          <w:lang w:val="en-GB"/>
        </w:rPr>
        <w:t>which was</w:t>
      </w:r>
      <w:r w:rsidR="00B31201" w:rsidRPr="00203B80">
        <w:rPr>
          <w:rFonts w:cstheme="minorHAnsi"/>
          <w:sz w:val="24"/>
          <w:szCs w:val="24"/>
          <w:lang w:val="en-GB"/>
        </w:rPr>
        <w:t xml:space="preserve"> established in 1990 after the </w:t>
      </w:r>
      <w:r w:rsidR="00B53FDA" w:rsidRPr="00203B80">
        <w:rPr>
          <w:rFonts w:cstheme="minorHAnsi"/>
          <w:sz w:val="24"/>
          <w:szCs w:val="24"/>
          <w:lang w:val="en-GB"/>
        </w:rPr>
        <w:t xml:space="preserve">regime change and a transformation from the union existence under the </w:t>
      </w:r>
      <w:r w:rsidR="00B53FDA" w:rsidRPr="00203B80">
        <w:rPr>
          <w:rFonts w:cstheme="minorHAnsi"/>
          <w:sz w:val="24"/>
          <w:szCs w:val="24"/>
          <w:lang w:val="en-GB"/>
        </w:rPr>
        <w:lastRenderedPageBreak/>
        <w:t>Communist regime.</w:t>
      </w:r>
      <w:r w:rsidR="00B31201" w:rsidRPr="00203B80">
        <w:rPr>
          <w:rFonts w:cstheme="minorHAnsi"/>
          <w:sz w:val="24"/>
          <w:szCs w:val="24"/>
          <w:lang w:val="en-GB"/>
        </w:rPr>
        <w:t xml:space="preserve"> </w:t>
      </w:r>
      <w:r w:rsidR="002C3BCB" w:rsidRPr="00203B80">
        <w:rPr>
          <w:rFonts w:cstheme="minorHAnsi"/>
          <w:sz w:val="24"/>
          <w:szCs w:val="24"/>
          <w:lang w:val="en-GB"/>
        </w:rPr>
        <w:t xml:space="preserve">CITUB represents 38 sectoral and branch federations as well as trade unions and has representative municipal and regional organizations in the country. </w:t>
      </w:r>
    </w:p>
    <w:p w14:paraId="79DB464E" w14:textId="12FE2B3C" w:rsidR="002B2995" w:rsidRDefault="002C3BCB" w:rsidP="00755845">
      <w:pPr>
        <w:pStyle w:val="Odsekzoznamu"/>
        <w:numPr>
          <w:ilvl w:val="0"/>
          <w:numId w:val="11"/>
        </w:numPr>
        <w:spacing w:line="360" w:lineRule="auto"/>
        <w:ind w:left="419" w:hanging="357"/>
        <w:jc w:val="both"/>
        <w:rPr>
          <w:rFonts w:cstheme="minorHAnsi"/>
          <w:sz w:val="24"/>
          <w:szCs w:val="24"/>
          <w:lang w:val="en-GB"/>
        </w:rPr>
      </w:pPr>
      <w:r w:rsidRPr="00203B80">
        <w:rPr>
          <w:rFonts w:cstheme="minorHAnsi"/>
          <w:sz w:val="24"/>
          <w:szCs w:val="24"/>
          <w:lang w:val="en-GB"/>
        </w:rPr>
        <w:t xml:space="preserve">The </w:t>
      </w:r>
      <w:r w:rsidRPr="00203B80">
        <w:rPr>
          <w:rFonts w:cstheme="minorHAnsi"/>
          <w:b/>
          <w:bCs/>
          <w:sz w:val="24"/>
          <w:szCs w:val="24"/>
          <w:lang w:val="en-GB"/>
        </w:rPr>
        <w:t xml:space="preserve">Confederation of Labour </w:t>
      </w:r>
      <w:proofErr w:type="spellStart"/>
      <w:r w:rsidRPr="00203B80">
        <w:rPr>
          <w:rFonts w:cstheme="minorHAnsi"/>
          <w:b/>
          <w:bCs/>
          <w:sz w:val="24"/>
          <w:szCs w:val="24"/>
          <w:lang w:val="en-GB"/>
        </w:rPr>
        <w:t>Podkrepa</w:t>
      </w:r>
      <w:proofErr w:type="spellEnd"/>
      <w:r w:rsidRPr="00203B80">
        <w:rPr>
          <w:rFonts w:cstheme="minorHAnsi"/>
          <w:sz w:val="24"/>
          <w:szCs w:val="24"/>
          <w:lang w:val="en-GB"/>
        </w:rPr>
        <w:t xml:space="preserve"> </w:t>
      </w:r>
      <w:r w:rsidR="00660A01" w:rsidRPr="00203B80">
        <w:rPr>
          <w:rFonts w:cstheme="minorHAnsi"/>
          <w:sz w:val="24"/>
          <w:szCs w:val="24"/>
          <w:lang w:val="en-GB"/>
        </w:rPr>
        <w:t>was established in 1989</w:t>
      </w:r>
      <w:r w:rsidR="00B53FDA" w:rsidRPr="00203B80">
        <w:rPr>
          <w:rFonts w:cstheme="minorHAnsi"/>
          <w:sz w:val="24"/>
          <w:szCs w:val="24"/>
          <w:lang w:val="en-GB"/>
        </w:rPr>
        <w:t xml:space="preserve"> and evolved into the second largest union confederation in Bulgaria, present in all sectors and regions. C</w:t>
      </w:r>
      <w:r w:rsidR="00660A01" w:rsidRPr="00203B80">
        <w:rPr>
          <w:rFonts w:cstheme="minorHAnsi"/>
          <w:sz w:val="24"/>
          <w:szCs w:val="24"/>
          <w:lang w:val="en-GB"/>
        </w:rPr>
        <w:t>urrently</w:t>
      </w:r>
      <w:r w:rsidR="00B53FDA" w:rsidRPr="00203B80">
        <w:rPr>
          <w:rFonts w:cstheme="minorHAnsi"/>
          <w:sz w:val="24"/>
          <w:szCs w:val="24"/>
          <w:lang w:val="en-GB"/>
        </w:rPr>
        <w:t xml:space="preserve"> </w:t>
      </w:r>
      <w:proofErr w:type="spellStart"/>
      <w:r w:rsidR="00B53FDA" w:rsidRPr="00203B80">
        <w:rPr>
          <w:rFonts w:cstheme="minorHAnsi"/>
          <w:sz w:val="24"/>
          <w:szCs w:val="24"/>
          <w:lang w:val="en-GB"/>
        </w:rPr>
        <w:t>Podkrepa</w:t>
      </w:r>
      <w:proofErr w:type="spellEnd"/>
      <w:r w:rsidR="00660A01" w:rsidRPr="00203B80">
        <w:rPr>
          <w:rFonts w:cstheme="minorHAnsi"/>
          <w:sz w:val="24"/>
          <w:szCs w:val="24"/>
          <w:lang w:val="en-GB"/>
        </w:rPr>
        <w:t xml:space="preserve"> represents around </w:t>
      </w:r>
      <w:r w:rsidR="00AE1999" w:rsidRPr="00203B80">
        <w:rPr>
          <w:rFonts w:cstheme="minorHAnsi"/>
          <w:sz w:val="24"/>
          <w:szCs w:val="24"/>
          <w:lang w:val="en-GB"/>
        </w:rPr>
        <w:t>53 000</w:t>
      </w:r>
      <w:r w:rsidR="00660A01" w:rsidRPr="00203B80">
        <w:rPr>
          <w:rFonts w:cstheme="minorHAnsi"/>
          <w:sz w:val="24"/>
          <w:szCs w:val="24"/>
          <w:lang w:val="en-GB"/>
        </w:rPr>
        <w:t xml:space="preserve"> members united in 36 regional trade unions, 30 national unions and federations and further 4 associated </w:t>
      </w:r>
      <w:r w:rsidR="0053307E" w:rsidRPr="00203B80">
        <w:rPr>
          <w:rFonts w:cstheme="minorHAnsi"/>
          <w:sz w:val="24"/>
          <w:szCs w:val="24"/>
          <w:lang w:val="en-GB"/>
        </w:rPr>
        <w:t>organizations and</w:t>
      </w:r>
      <w:r w:rsidR="00090B5D" w:rsidRPr="00203B80">
        <w:rPr>
          <w:rFonts w:cstheme="minorHAnsi"/>
          <w:sz w:val="24"/>
          <w:szCs w:val="24"/>
          <w:lang w:val="en-GB"/>
        </w:rPr>
        <w:t xml:space="preserve"> </w:t>
      </w:r>
      <w:r w:rsidR="00090B5D" w:rsidRPr="009F0436">
        <w:rPr>
          <w:rFonts w:cstheme="minorHAnsi"/>
          <w:sz w:val="24"/>
          <w:szCs w:val="24"/>
          <w:lang w:val="en-GB"/>
        </w:rPr>
        <w:t xml:space="preserve">since 1995 is a full member of the European Trade Union Confederation </w:t>
      </w:r>
      <w:r w:rsidR="00660A01" w:rsidRPr="009F0436">
        <w:rPr>
          <w:rFonts w:cstheme="minorHAnsi"/>
          <w:sz w:val="24"/>
          <w:szCs w:val="24"/>
          <w:lang w:val="en-GB"/>
        </w:rPr>
        <w:t>(</w:t>
      </w:r>
      <w:r w:rsidR="0053307E" w:rsidRPr="009F0436">
        <w:rPr>
          <w:rFonts w:cstheme="minorHAnsi"/>
          <w:sz w:val="24"/>
          <w:szCs w:val="24"/>
          <w:lang w:val="en-GB"/>
        </w:rPr>
        <w:t>ETUC 2019</w:t>
      </w:r>
      <w:r w:rsidR="00660A01" w:rsidRPr="009F0436">
        <w:rPr>
          <w:rFonts w:cstheme="minorHAnsi"/>
          <w:sz w:val="24"/>
          <w:szCs w:val="24"/>
          <w:lang w:val="en-GB"/>
        </w:rPr>
        <w:t xml:space="preserve">). </w:t>
      </w:r>
      <w:r w:rsidR="00B53FDA" w:rsidRPr="009F0436">
        <w:rPr>
          <w:rFonts w:cstheme="minorHAnsi"/>
          <w:sz w:val="24"/>
          <w:szCs w:val="24"/>
          <w:lang w:val="en-GB"/>
        </w:rPr>
        <w:t xml:space="preserve">In </w:t>
      </w:r>
      <w:r w:rsidR="00B53FDA" w:rsidRPr="00755845">
        <w:rPr>
          <w:rFonts w:cstheme="minorHAnsi"/>
          <w:sz w:val="24"/>
          <w:szCs w:val="24"/>
          <w:lang w:val="en-GB"/>
        </w:rPr>
        <w:t xml:space="preserve">2012, </w:t>
      </w:r>
      <w:proofErr w:type="spellStart"/>
      <w:r w:rsidR="00B53FDA" w:rsidRPr="00755845">
        <w:rPr>
          <w:rFonts w:cstheme="minorHAnsi"/>
          <w:sz w:val="24"/>
          <w:szCs w:val="24"/>
          <w:lang w:val="en-GB"/>
        </w:rPr>
        <w:t>Podkrepa</w:t>
      </w:r>
      <w:proofErr w:type="spellEnd"/>
      <w:r w:rsidR="00B53FDA" w:rsidRPr="00755845">
        <w:rPr>
          <w:rFonts w:cstheme="minorHAnsi"/>
          <w:sz w:val="24"/>
          <w:szCs w:val="24"/>
          <w:lang w:val="en-GB"/>
        </w:rPr>
        <w:t xml:space="preserve"> organized about 91</w:t>
      </w:r>
      <w:r w:rsidR="002B5921" w:rsidRPr="00755845">
        <w:rPr>
          <w:rFonts w:cstheme="minorHAnsi"/>
          <w:sz w:val="24"/>
          <w:szCs w:val="24"/>
          <w:lang w:val="en-GB"/>
        </w:rPr>
        <w:t>,000</w:t>
      </w:r>
      <w:r w:rsidR="00B53FDA" w:rsidRPr="00755845">
        <w:rPr>
          <w:rFonts w:cstheme="minorHAnsi"/>
          <w:sz w:val="24"/>
          <w:szCs w:val="24"/>
          <w:lang w:val="en-GB"/>
        </w:rPr>
        <w:t xml:space="preserve"> of members (Kirov</w:t>
      </w:r>
      <w:r w:rsidR="001649CE">
        <w:rPr>
          <w:rFonts w:cstheme="minorHAnsi"/>
          <w:sz w:val="24"/>
          <w:szCs w:val="24"/>
          <w:lang w:val="en-GB"/>
        </w:rPr>
        <w:t>,</w:t>
      </w:r>
      <w:r w:rsidR="00B53FDA" w:rsidRPr="00755845">
        <w:rPr>
          <w:rFonts w:cstheme="minorHAnsi"/>
          <w:sz w:val="24"/>
          <w:szCs w:val="24"/>
          <w:lang w:val="en-GB"/>
        </w:rPr>
        <w:t xml:space="preserve"> 2019). </w:t>
      </w:r>
    </w:p>
    <w:p w14:paraId="70DF6FFB" w14:textId="6470203F" w:rsidR="002B2995" w:rsidRDefault="00B53FDA" w:rsidP="002B2995">
      <w:pPr>
        <w:pStyle w:val="Zkladntext2"/>
        <w:contextualSpacing/>
      </w:pPr>
      <w:r w:rsidRPr="002B2995">
        <w:t>On the employers’ side, pluralism has been greater than on the trade union side. In 2016, five recognized organizations operated at the national level (ibid.). The successors of the old structure of managers of state-owned companies, the Bulgarian Industrial Association (Balgarskata stopanska kamara, BSK) and the Bulgarian Chamber of Commerce and Industry (Balgarskata targovsko-promishlena palata, BTPP), co-exist with more recently established organizations such as the Confederation of Employers and Industrialists in Bulgaria (Konfederaziata na rabotodatelite i industrialzite v Balgaria, KRIB), which claims to represent a significant part of GDP and employment, and the Association of Industrial Capital in Bulgaria (Assoziaziata na industrialnia capital v Balgaria, AIKB), representing former mass privatization funds.</w:t>
      </w:r>
    </w:p>
    <w:p w14:paraId="7A5F9DC1" w14:textId="77777777" w:rsidR="002B2995" w:rsidRDefault="00B53FDA" w:rsidP="002B2995">
      <w:pPr>
        <w:pStyle w:val="Zkladntext2"/>
        <w:ind w:firstLine="708"/>
        <w:contextualSpacing/>
        <w:rPr>
          <w:rFonts w:cstheme="minorHAnsi"/>
          <w:lang w:val="en-GB"/>
        </w:rPr>
      </w:pPr>
      <w:r w:rsidRPr="002B2995">
        <w:rPr>
          <w:rFonts w:cstheme="minorHAnsi"/>
          <w:lang w:val="en-GB"/>
        </w:rPr>
        <w:t>From early 1990 until 2012, two organizations of small businesses, the Union for Economic Initiative (</w:t>
      </w:r>
      <w:proofErr w:type="spellStart"/>
      <w:r w:rsidRPr="002B2995">
        <w:rPr>
          <w:rFonts w:cstheme="minorHAnsi"/>
          <w:lang w:val="en-GB"/>
        </w:rPr>
        <w:t>Saiuzat</w:t>
      </w:r>
      <w:proofErr w:type="spellEnd"/>
      <w:r w:rsidRPr="002B2995">
        <w:rPr>
          <w:rFonts w:cstheme="minorHAnsi"/>
          <w:lang w:val="en-GB"/>
        </w:rPr>
        <w:t xml:space="preserve"> </w:t>
      </w:r>
      <w:proofErr w:type="spellStart"/>
      <w:r w:rsidRPr="002B2995">
        <w:rPr>
          <w:rFonts w:cstheme="minorHAnsi"/>
          <w:lang w:val="en-GB"/>
        </w:rPr>
        <w:t>za</w:t>
      </w:r>
      <w:proofErr w:type="spellEnd"/>
      <w:r w:rsidRPr="002B2995">
        <w:rPr>
          <w:rFonts w:cstheme="minorHAnsi"/>
          <w:lang w:val="en-GB"/>
        </w:rPr>
        <w:t xml:space="preserve"> </w:t>
      </w:r>
      <w:proofErr w:type="spellStart"/>
      <w:r w:rsidRPr="002B2995">
        <w:rPr>
          <w:rFonts w:cstheme="minorHAnsi"/>
          <w:lang w:val="en-GB"/>
        </w:rPr>
        <w:t>stopanska</w:t>
      </w:r>
      <w:proofErr w:type="spellEnd"/>
      <w:r w:rsidRPr="002B2995">
        <w:rPr>
          <w:rFonts w:cstheme="minorHAnsi"/>
          <w:lang w:val="en-GB"/>
        </w:rPr>
        <w:t xml:space="preserve"> </w:t>
      </w:r>
      <w:proofErr w:type="spellStart"/>
      <w:r w:rsidRPr="002B2995">
        <w:rPr>
          <w:rFonts w:cstheme="minorHAnsi"/>
          <w:lang w:val="en-GB"/>
        </w:rPr>
        <w:t>initziative</w:t>
      </w:r>
      <w:proofErr w:type="spellEnd"/>
      <w:r w:rsidRPr="002B2995">
        <w:rPr>
          <w:rFonts w:cstheme="minorHAnsi"/>
          <w:lang w:val="en-GB"/>
        </w:rPr>
        <w:t>, SSI) and the Union of Private Employers ‘Renaissance’ (</w:t>
      </w:r>
      <w:proofErr w:type="spellStart"/>
      <w:r w:rsidRPr="002B2995">
        <w:rPr>
          <w:rFonts w:cstheme="minorHAnsi"/>
          <w:lang w:val="en-GB"/>
        </w:rPr>
        <w:t>Saiuzat</w:t>
      </w:r>
      <w:proofErr w:type="spellEnd"/>
      <w:r w:rsidRPr="002B2995">
        <w:rPr>
          <w:rFonts w:cstheme="minorHAnsi"/>
          <w:lang w:val="en-GB"/>
        </w:rPr>
        <w:t xml:space="preserve"> </w:t>
      </w:r>
      <w:proofErr w:type="spellStart"/>
      <w:r w:rsidRPr="002B2995">
        <w:rPr>
          <w:rFonts w:cstheme="minorHAnsi"/>
          <w:lang w:val="en-GB"/>
        </w:rPr>
        <w:t>na</w:t>
      </w:r>
      <w:proofErr w:type="spellEnd"/>
      <w:r w:rsidRPr="002B2995">
        <w:rPr>
          <w:rFonts w:cstheme="minorHAnsi"/>
          <w:lang w:val="en-GB"/>
        </w:rPr>
        <w:t xml:space="preserve"> </w:t>
      </w:r>
      <w:proofErr w:type="spellStart"/>
      <w:r w:rsidRPr="002B2995">
        <w:rPr>
          <w:rFonts w:cstheme="minorHAnsi"/>
          <w:lang w:val="en-GB"/>
        </w:rPr>
        <w:t>chastnite</w:t>
      </w:r>
      <w:proofErr w:type="spellEnd"/>
      <w:r w:rsidRPr="002B2995">
        <w:rPr>
          <w:rFonts w:cstheme="minorHAnsi"/>
          <w:lang w:val="en-GB"/>
        </w:rPr>
        <w:t xml:space="preserve"> </w:t>
      </w:r>
      <w:proofErr w:type="spellStart"/>
      <w:r w:rsidRPr="002B2995">
        <w:rPr>
          <w:rFonts w:cstheme="minorHAnsi"/>
          <w:lang w:val="en-GB"/>
        </w:rPr>
        <w:t>predpiremachi</w:t>
      </w:r>
      <w:proofErr w:type="spellEnd"/>
      <w:r w:rsidRPr="002B2995">
        <w:rPr>
          <w:rFonts w:cstheme="minorHAnsi"/>
          <w:lang w:val="en-GB"/>
        </w:rPr>
        <w:t xml:space="preserve"> ‘</w:t>
      </w:r>
      <w:proofErr w:type="spellStart"/>
      <w:r w:rsidRPr="002B2995">
        <w:rPr>
          <w:rFonts w:cstheme="minorHAnsi"/>
          <w:lang w:val="en-GB"/>
        </w:rPr>
        <w:t>Vazrajdane</w:t>
      </w:r>
      <w:proofErr w:type="spellEnd"/>
      <w:r w:rsidRPr="002B2995">
        <w:rPr>
          <w:rFonts w:cstheme="minorHAnsi"/>
          <w:lang w:val="en-GB"/>
        </w:rPr>
        <w:t>’), were active employers’ organizations and recognized as nationally representative. Since 2016, SSI has again been recognized as nationally representative.</w:t>
      </w:r>
      <w:r w:rsidR="002B2995">
        <w:rPr>
          <w:rFonts w:cstheme="minorHAnsi"/>
          <w:lang w:val="en-GB"/>
        </w:rPr>
        <w:t xml:space="preserve"> </w:t>
      </w:r>
    </w:p>
    <w:p w14:paraId="7B1161D9" w14:textId="3BCD687A" w:rsidR="00B53FDA" w:rsidRPr="002B2995" w:rsidRDefault="00B53FDA" w:rsidP="002B2995">
      <w:pPr>
        <w:pStyle w:val="Zkladntext2"/>
        <w:ind w:firstLine="708"/>
        <w:contextualSpacing/>
      </w:pPr>
      <w:r w:rsidRPr="009F0436">
        <w:rPr>
          <w:rFonts w:cstheme="minorHAnsi"/>
          <w:lang w:val="en-GB"/>
        </w:rPr>
        <w:t xml:space="preserve">Until 2012, a company could be a member of more than one </w:t>
      </w:r>
      <w:r w:rsidR="00FD51F3" w:rsidRPr="009F0436">
        <w:rPr>
          <w:rFonts w:cstheme="minorHAnsi"/>
          <w:lang w:val="en-GB"/>
        </w:rPr>
        <w:t>employer’s</w:t>
      </w:r>
      <w:r w:rsidRPr="009F0436">
        <w:rPr>
          <w:rFonts w:cstheme="minorHAnsi"/>
          <w:lang w:val="en-GB"/>
        </w:rPr>
        <w:t xml:space="preserve"> organization, but the rules were changed, and now only one membership is permissible</w:t>
      </w:r>
      <w:r w:rsidR="00F31E0C">
        <w:rPr>
          <w:rFonts w:cstheme="minorHAnsi"/>
          <w:lang w:val="en-GB"/>
        </w:rPr>
        <w:t xml:space="preserve"> (Kirov</w:t>
      </w:r>
      <w:r w:rsidR="001649CE">
        <w:rPr>
          <w:rFonts w:cstheme="minorHAnsi"/>
          <w:lang w:val="en-GB"/>
        </w:rPr>
        <w:t>,</w:t>
      </w:r>
      <w:r w:rsidR="00F31E0C">
        <w:rPr>
          <w:rFonts w:cstheme="minorHAnsi"/>
          <w:lang w:val="en-GB"/>
        </w:rPr>
        <w:t xml:space="preserve"> 2019)</w:t>
      </w:r>
      <w:r w:rsidRPr="009F0436">
        <w:rPr>
          <w:rFonts w:cstheme="minorHAnsi"/>
          <w:lang w:val="en-GB"/>
        </w:rPr>
        <w:t xml:space="preserve">. </w:t>
      </w:r>
    </w:p>
    <w:p w14:paraId="41D0239D" w14:textId="717EBF6A" w:rsidR="009F0436" w:rsidRPr="00755845" w:rsidRDefault="009F0436" w:rsidP="00755845">
      <w:pPr>
        <w:pStyle w:val="Nadpis2"/>
        <w:numPr>
          <w:ilvl w:val="1"/>
          <w:numId w:val="20"/>
        </w:numPr>
        <w:spacing w:line="360" w:lineRule="auto"/>
        <w:contextualSpacing/>
        <w:jc w:val="both"/>
        <w:rPr>
          <w:sz w:val="28"/>
          <w:lang w:val="en-GB"/>
        </w:rPr>
      </w:pPr>
      <w:r>
        <w:rPr>
          <w:sz w:val="28"/>
          <w:szCs w:val="24"/>
          <w:lang w:val="en-GB"/>
        </w:rPr>
        <w:t xml:space="preserve"> </w:t>
      </w:r>
      <w:bookmarkStart w:id="24" w:name="_Toc174086657"/>
      <w:r w:rsidR="00192F2A" w:rsidRPr="00F01203">
        <w:rPr>
          <w:sz w:val="28"/>
          <w:szCs w:val="24"/>
          <w:lang w:val="en-GB"/>
        </w:rPr>
        <w:t>Collective bargaining</w:t>
      </w:r>
      <w:bookmarkEnd w:id="24"/>
      <w:r w:rsidR="00192F2A" w:rsidRPr="00F01203">
        <w:rPr>
          <w:sz w:val="28"/>
          <w:szCs w:val="24"/>
          <w:lang w:val="en-GB"/>
        </w:rPr>
        <w:t xml:space="preserve"> </w:t>
      </w:r>
    </w:p>
    <w:p w14:paraId="025CDC6B" w14:textId="522DD554" w:rsidR="002F2C53" w:rsidRDefault="000C3443" w:rsidP="00755845">
      <w:pPr>
        <w:spacing w:line="360" w:lineRule="auto"/>
        <w:ind w:firstLine="709"/>
        <w:contextualSpacing/>
        <w:jc w:val="both"/>
        <w:rPr>
          <w:rFonts w:cstheme="minorHAnsi"/>
          <w:lang w:val="en-GB"/>
        </w:rPr>
      </w:pPr>
      <w:r w:rsidRPr="00F01203">
        <w:rPr>
          <w:rFonts w:cstheme="minorHAnsi"/>
          <w:sz w:val="24"/>
          <w:szCs w:val="24"/>
          <w:lang w:val="en-GB"/>
        </w:rPr>
        <w:t xml:space="preserve">Collective bargaining in Bulgaria is anchored in articles 50-60 of the Labour Code and allows collective agreements on the sectoral, municipal or company level. In general, the collective labour agreements may not contain clauses setting less favourable conditions than those agreed upon in other collective labour agreements or law. The coverage of collective </w:t>
      </w:r>
      <w:r w:rsidRPr="00F01203">
        <w:rPr>
          <w:rFonts w:cstheme="minorHAnsi"/>
          <w:sz w:val="24"/>
          <w:szCs w:val="24"/>
          <w:lang w:val="en-GB"/>
        </w:rPr>
        <w:lastRenderedPageBreak/>
        <w:t>bargaining in 2016 was around 23% a decrease of 33% in coverage since 2000 f</w:t>
      </w:r>
      <w:r w:rsidR="00CB6023">
        <w:rPr>
          <w:rFonts w:cstheme="minorHAnsi"/>
          <w:sz w:val="24"/>
          <w:szCs w:val="24"/>
          <w:lang w:val="en-GB"/>
        </w:rPr>
        <w:t>rom the ICTWWS database (</w:t>
      </w:r>
      <w:proofErr w:type="spellStart"/>
      <w:r w:rsidR="00CB6023">
        <w:rPr>
          <w:rFonts w:cstheme="minorHAnsi"/>
          <w:sz w:val="24"/>
          <w:szCs w:val="24"/>
          <w:lang w:val="en-GB"/>
        </w:rPr>
        <w:t>Visser</w:t>
      </w:r>
      <w:proofErr w:type="spellEnd"/>
      <w:r w:rsidR="001649CE">
        <w:rPr>
          <w:rFonts w:cstheme="minorHAnsi"/>
          <w:sz w:val="24"/>
          <w:szCs w:val="24"/>
          <w:lang w:val="en-GB"/>
        </w:rPr>
        <w:t>,</w:t>
      </w:r>
      <w:r w:rsidRPr="00F01203">
        <w:rPr>
          <w:rFonts w:cstheme="minorHAnsi"/>
          <w:sz w:val="24"/>
          <w:szCs w:val="24"/>
          <w:lang w:val="en-GB"/>
        </w:rPr>
        <w:t xml:space="preserve"> 2019). </w:t>
      </w:r>
    </w:p>
    <w:p w14:paraId="4660F2CC" w14:textId="435DDC85" w:rsidR="002F2C53" w:rsidRDefault="000C3443" w:rsidP="00755845">
      <w:pPr>
        <w:spacing w:line="360" w:lineRule="auto"/>
        <w:ind w:firstLine="708"/>
        <w:contextualSpacing/>
        <w:jc w:val="both"/>
        <w:rPr>
          <w:rFonts w:cstheme="minorHAnsi"/>
          <w:lang w:val="en-GB"/>
        </w:rPr>
      </w:pPr>
      <w:r w:rsidRPr="00F01203">
        <w:rPr>
          <w:rFonts w:cstheme="minorHAnsi"/>
          <w:sz w:val="24"/>
          <w:szCs w:val="24"/>
          <w:lang w:val="en-GB"/>
        </w:rPr>
        <w:t>In general, collective bargaining coverage in Bulgaria is decreasing and the trend is towards deregulation and decentralization</w:t>
      </w:r>
      <w:r w:rsidR="00F31E0C">
        <w:rPr>
          <w:rFonts w:cstheme="minorHAnsi"/>
          <w:sz w:val="24"/>
          <w:szCs w:val="24"/>
          <w:lang w:val="en-GB"/>
        </w:rPr>
        <w:t xml:space="preserve"> (Kirov</w:t>
      </w:r>
      <w:r w:rsidR="001649CE">
        <w:rPr>
          <w:rFonts w:cstheme="minorHAnsi"/>
          <w:sz w:val="24"/>
          <w:szCs w:val="24"/>
          <w:lang w:val="en-GB"/>
        </w:rPr>
        <w:t>,</w:t>
      </w:r>
      <w:r w:rsidR="00F31E0C">
        <w:rPr>
          <w:rFonts w:cstheme="minorHAnsi"/>
          <w:sz w:val="24"/>
          <w:szCs w:val="24"/>
          <w:lang w:val="en-GB"/>
        </w:rPr>
        <w:t xml:space="preserve"> 2019)</w:t>
      </w:r>
      <w:r w:rsidRPr="00F01203">
        <w:rPr>
          <w:rFonts w:cstheme="minorHAnsi"/>
          <w:sz w:val="24"/>
          <w:szCs w:val="24"/>
          <w:lang w:val="en-GB"/>
        </w:rPr>
        <w:t>. Collective bargaining largely takes place on sectoral and company levels and single-employer bargaining is the most prominent</w:t>
      </w:r>
      <w:r w:rsidR="00F31E0C">
        <w:rPr>
          <w:rFonts w:cstheme="minorHAnsi"/>
          <w:sz w:val="24"/>
          <w:szCs w:val="24"/>
          <w:lang w:val="en-GB"/>
        </w:rPr>
        <w:t xml:space="preserve">, while </w:t>
      </w:r>
      <w:r w:rsidRPr="00F01203">
        <w:rPr>
          <w:rFonts w:cstheme="minorHAnsi"/>
          <w:sz w:val="24"/>
          <w:szCs w:val="24"/>
          <w:lang w:val="en-GB"/>
        </w:rPr>
        <w:t>civil servants are excluded from collective bargaining.</w:t>
      </w:r>
    </w:p>
    <w:p w14:paraId="510E0104" w14:textId="602653FD" w:rsidR="002F2C53" w:rsidRPr="009F0436" w:rsidRDefault="00F31E0C" w:rsidP="00755845">
      <w:pPr>
        <w:spacing w:line="360" w:lineRule="auto"/>
        <w:ind w:firstLine="708"/>
        <w:contextualSpacing/>
        <w:jc w:val="both"/>
        <w:rPr>
          <w:rFonts w:cstheme="minorHAnsi"/>
          <w:lang w:val="en-GB"/>
        </w:rPr>
      </w:pPr>
      <w:r>
        <w:rPr>
          <w:rFonts w:cstheme="minorHAnsi"/>
          <w:sz w:val="24"/>
          <w:szCs w:val="24"/>
          <w:lang w:val="en-GB"/>
        </w:rPr>
        <w:t>The interviews conducted revealed that a</w:t>
      </w:r>
      <w:r w:rsidR="00B53FDA" w:rsidRPr="00F01203">
        <w:rPr>
          <w:rFonts w:cstheme="minorHAnsi"/>
          <w:sz w:val="24"/>
          <w:szCs w:val="24"/>
          <w:lang w:val="en-GB"/>
        </w:rPr>
        <w:t>t the industry level, both the organizational structure and the attitude of employers’ organizations make collective bargaining difficult. In some industries, there are no employers’ organizations with which trade unions can negotiate. In other cases, employers’ organizations exist at the industry level but are not willing to negotiate, and, as in other countries in the region, their role is limited to business representation and lobbying.</w:t>
      </w:r>
    </w:p>
    <w:p w14:paraId="3E7A8832" w14:textId="02E1AE77" w:rsidR="00CB6023" w:rsidRDefault="00B53FDA" w:rsidP="00CB6023">
      <w:pPr>
        <w:spacing w:line="360" w:lineRule="auto"/>
        <w:ind w:firstLine="709"/>
        <w:contextualSpacing/>
        <w:jc w:val="both"/>
        <w:rPr>
          <w:sz w:val="24"/>
          <w:szCs w:val="24"/>
          <w:lang w:val="en-GB"/>
        </w:rPr>
      </w:pPr>
      <w:r w:rsidRPr="00F01203">
        <w:rPr>
          <w:sz w:val="24"/>
          <w:szCs w:val="24"/>
          <w:lang w:val="en-GB"/>
        </w:rPr>
        <w:t>In recent years, the prevailing attitude of employers has been to avoid joining employers’ associations or not to authorize them to conclude sectoral/industry agreements. This is the case not only among local employers but also large multinational companies</w:t>
      </w:r>
      <w:r w:rsidR="00F31E0C">
        <w:rPr>
          <w:sz w:val="24"/>
          <w:szCs w:val="24"/>
          <w:lang w:val="en-GB"/>
        </w:rPr>
        <w:t xml:space="preserve"> (Kirov</w:t>
      </w:r>
      <w:r w:rsidR="001649CE">
        <w:rPr>
          <w:sz w:val="24"/>
          <w:szCs w:val="24"/>
          <w:lang w:val="en-GB"/>
        </w:rPr>
        <w:t>,</w:t>
      </w:r>
      <w:r w:rsidR="00F31E0C">
        <w:rPr>
          <w:sz w:val="24"/>
          <w:szCs w:val="24"/>
          <w:lang w:val="en-GB"/>
        </w:rPr>
        <w:t xml:space="preserve"> 2019)</w:t>
      </w:r>
      <w:r w:rsidRPr="00F01203">
        <w:rPr>
          <w:sz w:val="24"/>
          <w:szCs w:val="24"/>
          <w:lang w:val="en-GB"/>
        </w:rPr>
        <w:t>.</w:t>
      </w:r>
    </w:p>
    <w:p w14:paraId="5FE83FAF" w14:textId="7DC7B6B5" w:rsidR="00664062" w:rsidRPr="00CB6023" w:rsidRDefault="002F2C53" w:rsidP="00CB6023">
      <w:pPr>
        <w:spacing w:line="360" w:lineRule="auto"/>
        <w:ind w:firstLine="709"/>
        <w:contextualSpacing/>
        <w:jc w:val="both"/>
        <w:rPr>
          <w:sz w:val="24"/>
          <w:szCs w:val="24"/>
          <w:lang w:val="en-GB"/>
        </w:rPr>
      </w:pPr>
      <w:r>
        <w:rPr>
          <w:sz w:val="24"/>
          <w:szCs w:val="24"/>
          <w:lang w:val="en-GB"/>
        </w:rPr>
        <w:t>I</w:t>
      </w:r>
      <w:r w:rsidR="000B0F5C" w:rsidRPr="00203B80">
        <w:rPr>
          <w:rFonts w:cstheme="minorHAnsi"/>
          <w:sz w:val="24"/>
          <w:szCs w:val="24"/>
          <w:lang w:val="en-GB"/>
        </w:rPr>
        <w:t>n the Bulgarian labo</w:t>
      </w:r>
      <w:r w:rsidR="004C7221" w:rsidRPr="00203B80">
        <w:rPr>
          <w:rFonts w:cstheme="minorHAnsi"/>
          <w:sz w:val="24"/>
          <w:szCs w:val="24"/>
          <w:lang w:val="en-GB"/>
        </w:rPr>
        <w:t>u</w:t>
      </w:r>
      <w:r w:rsidR="000B0F5C" w:rsidRPr="00203B80">
        <w:rPr>
          <w:rFonts w:cstheme="minorHAnsi"/>
          <w:sz w:val="24"/>
          <w:szCs w:val="24"/>
          <w:lang w:val="en-GB"/>
        </w:rPr>
        <w:t>r legislation, there is a procedure for benefiting from the enterprise collective agreement’s provisions for non-union members</w:t>
      </w:r>
      <w:r w:rsidR="00D452A7" w:rsidRPr="00203B80">
        <w:rPr>
          <w:rFonts w:cstheme="minorHAnsi"/>
          <w:sz w:val="24"/>
          <w:szCs w:val="24"/>
          <w:lang w:val="en-GB"/>
        </w:rPr>
        <w:t xml:space="preserve">, but only upon agreement. </w:t>
      </w:r>
      <w:r w:rsidR="00FD2713" w:rsidRPr="00203B80">
        <w:rPr>
          <w:rFonts w:cstheme="minorHAnsi"/>
          <w:sz w:val="24"/>
          <w:szCs w:val="24"/>
          <w:lang w:val="en-GB"/>
        </w:rPr>
        <w:t>Parties to the agreement negotiate under what conditions and order this accession to the coll</w:t>
      </w:r>
      <w:r w:rsidR="00AE1999" w:rsidRPr="00203B80">
        <w:rPr>
          <w:rFonts w:cstheme="minorHAnsi"/>
          <w:sz w:val="24"/>
          <w:szCs w:val="24"/>
          <w:lang w:val="en-GB"/>
        </w:rPr>
        <w:t xml:space="preserve">ective agreement can take place, including </w:t>
      </w:r>
      <w:r w:rsidR="000B0F5C" w:rsidRPr="00203B80">
        <w:rPr>
          <w:rFonts w:cstheme="minorHAnsi"/>
          <w:sz w:val="24"/>
          <w:szCs w:val="24"/>
          <w:lang w:val="en-GB"/>
        </w:rPr>
        <w:t xml:space="preserve">the possibility to request a cash contribution for joining the collective agreement. </w:t>
      </w:r>
      <w:r w:rsidR="00FD2713" w:rsidRPr="00203B80">
        <w:rPr>
          <w:rFonts w:cstheme="minorHAnsi"/>
          <w:sz w:val="24"/>
          <w:szCs w:val="24"/>
          <w:lang w:val="en-GB"/>
        </w:rPr>
        <w:t>In general, the conditions of C</w:t>
      </w:r>
      <w:r w:rsidR="00B53FDA" w:rsidRPr="00203B80">
        <w:rPr>
          <w:rFonts w:cstheme="minorHAnsi"/>
          <w:sz w:val="24"/>
          <w:szCs w:val="24"/>
          <w:lang w:val="en-GB"/>
        </w:rPr>
        <w:t>B</w:t>
      </w:r>
      <w:r w:rsidR="00FD2713" w:rsidRPr="00203B80">
        <w:rPr>
          <w:rFonts w:cstheme="minorHAnsi"/>
          <w:sz w:val="24"/>
          <w:szCs w:val="24"/>
          <w:lang w:val="en-GB"/>
        </w:rPr>
        <w:t>A only extend to union members, but trade unions are campaigning for extension legislation of C</w:t>
      </w:r>
      <w:r w:rsidR="00B53FDA" w:rsidRPr="00203B80">
        <w:rPr>
          <w:rFonts w:cstheme="minorHAnsi"/>
          <w:sz w:val="24"/>
          <w:szCs w:val="24"/>
          <w:lang w:val="en-GB"/>
        </w:rPr>
        <w:t>B</w:t>
      </w:r>
      <w:r w:rsidR="00FD2713" w:rsidRPr="00203B80">
        <w:rPr>
          <w:rFonts w:cstheme="minorHAnsi"/>
          <w:sz w:val="24"/>
          <w:szCs w:val="24"/>
          <w:lang w:val="en-GB"/>
        </w:rPr>
        <w:t>As to cover all employees.</w:t>
      </w:r>
      <w:r w:rsidR="000B0F5C" w:rsidRPr="00203B80">
        <w:rPr>
          <w:rFonts w:cstheme="minorHAnsi"/>
          <w:sz w:val="24"/>
          <w:szCs w:val="24"/>
          <w:lang w:val="en-GB"/>
        </w:rPr>
        <w:t xml:space="preserve"> </w:t>
      </w:r>
      <w:r w:rsidR="00546CBF" w:rsidRPr="00203B80">
        <w:rPr>
          <w:rFonts w:cstheme="minorHAnsi"/>
          <w:sz w:val="24"/>
          <w:szCs w:val="24"/>
          <w:lang w:val="en-GB"/>
        </w:rPr>
        <w:t>The estimates for the collective agreement coverage varies according to different sources, but</w:t>
      </w:r>
      <w:r w:rsidR="00736E17" w:rsidRPr="00203B80">
        <w:rPr>
          <w:rFonts w:cstheme="minorHAnsi"/>
          <w:sz w:val="24"/>
          <w:szCs w:val="24"/>
          <w:lang w:val="en-GB"/>
        </w:rPr>
        <w:t xml:space="preserve"> according to the latest information from the European Trade Union Institute</w:t>
      </w:r>
      <w:r w:rsidR="00546CBF" w:rsidRPr="00203B80">
        <w:rPr>
          <w:rFonts w:cstheme="minorHAnsi"/>
          <w:sz w:val="24"/>
          <w:szCs w:val="24"/>
          <w:lang w:val="en-GB"/>
        </w:rPr>
        <w:t xml:space="preserve"> </w:t>
      </w:r>
      <w:r w:rsidR="00736E17" w:rsidRPr="00203B80">
        <w:rPr>
          <w:rFonts w:cstheme="minorHAnsi"/>
          <w:sz w:val="24"/>
          <w:szCs w:val="24"/>
          <w:lang w:val="en-GB"/>
        </w:rPr>
        <w:t>the coverage is around 30%</w:t>
      </w:r>
      <w:r w:rsidR="00736E17" w:rsidRPr="0011716C">
        <w:rPr>
          <w:rStyle w:val="Odkaznapoznmkupodiarou"/>
          <w:rFonts w:cstheme="minorHAnsi"/>
          <w:sz w:val="24"/>
          <w:szCs w:val="24"/>
          <w:lang w:val="en-GB"/>
        </w:rPr>
        <w:footnoteReference w:id="14"/>
      </w:r>
      <w:r w:rsidR="00736E17" w:rsidRPr="0011716C">
        <w:rPr>
          <w:rFonts w:cstheme="minorHAnsi"/>
          <w:sz w:val="24"/>
          <w:szCs w:val="24"/>
          <w:lang w:val="en-GB"/>
        </w:rPr>
        <w:t xml:space="preserve"> </w:t>
      </w:r>
      <w:r w:rsidR="00546CBF" w:rsidRPr="0011716C">
        <w:rPr>
          <w:rFonts w:cstheme="minorHAnsi"/>
          <w:sz w:val="24"/>
          <w:szCs w:val="24"/>
          <w:lang w:val="en-GB"/>
        </w:rPr>
        <w:t xml:space="preserve">and according to the </w:t>
      </w:r>
      <w:r w:rsidR="0076166D" w:rsidRPr="00203B80">
        <w:rPr>
          <w:rFonts w:cstheme="minorHAnsi"/>
          <w:sz w:val="24"/>
          <w:szCs w:val="24"/>
          <w:lang w:val="en-GB"/>
        </w:rPr>
        <w:t>2018</w:t>
      </w:r>
      <w:r w:rsidR="00546CBF" w:rsidRPr="00203B80">
        <w:rPr>
          <w:rFonts w:cstheme="minorHAnsi"/>
          <w:sz w:val="24"/>
          <w:szCs w:val="24"/>
          <w:lang w:val="en-GB"/>
        </w:rPr>
        <w:t xml:space="preserve"> EUROSTAT Structure of Earning Sur</w:t>
      </w:r>
      <w:r w:rsidR="00AE1999" w:rsidRPr="00203B80">
        <w:rPr>
          <w:rFonts w:cstheme="minorHAnsi"/>
          <w:sz w:val="24"/>
          <w:szCs w:val="24"/>
          <w:lang w:val="en-GB"/>
        </w:rPr>
        <w:t>vey, the coverage was</w:t>
      </w:r>
      <w:r w:rsidR="0076166D" w:rsidRPr="00203B80">
        <w:rPr>
          <w:rFonts w:cstheme="minorHAnsi"/>
          <w:sz w:val="24"/>
          <w:szCs w:val="24"/>
          <w:lang w:val="en-GB"/>
        </w:rPr>
        <w:t xml:space="preserve"> around 28</w:t>
      </w:r>
      <w:r w:rsidR="00546CBF" w:rsidRPr="00203B80">
        <w:rPr>
          <w:rFonts w:cstheme="minorHAnsi"/>
          <w:sz w:val="24"/>
          <w:szCs w:val="24"/>
          <w:lang w:val="en-GB"/>
        </w:rPr>
        <w:t>%</w:t>
      </w:r>
      <w:r w:rsidR="00AE1999" w:rsidRPr="00203B80">
        <w:rPr>
          <w:rFonts w:cstheme="minorHAnsi"/>
          <w:sz w:val="24"/>
          <w:szCs w:val="24"/>
          <w:lang w:val="en-GB"/>
        </w:rPr>
        <w:t>.</w:t>
      </w:r>
      <w:r w:rsidR="00736E17" w:rsidRPr="0011716C">
        <w:rPr>
          <w:rStyle w:val="Odkaznapoznmkupodiarou"/>
          <w:rFonts w:cstheme="minorHAnsi"/>
          <w:sz w:val="24"/>
          <w:szCs w:val="24"/>
          <w:lang w:val="en-GB"/>
        </w:rPr>
        <w:footnoteReference w:id="15"/>
      </w:r>
      <w:r w:rsidR="00AE1999" w:rsidRPr="0011716C">
        <w:rPr>
          <w:rFonts w:cstheme="minorHAnsi"/>
          <w:sz w:val="24"/>
          <w:szCs w:val="24"/>
          <w:lang w:val="en-GB"/>
        </w:rPr>
        <w:t xml:space="preserve"> </w:t>
      </w:r>
      <w:r w:rsidR="000C16D1" w:rsidRPr="0011716C">
        <w:rPr>
          <w:rFonts w:cstheme="minorHAnsi"/>
          <w:sz w:val="24"/>
          <w:szCs w:val="24"/>
          <w:lang w:val="en-GB"/>
        </w:rPr>
        <w:t xml:space="preserve">According to </w:t>
      </w:r>
      <w:r w:rsidR="00736E17" w:rsidRPr="00203B80">
        <w:rPr>
          <w:rFonts w:cstheme="minorHAnsi"/>
          <w:sz w:val="24"/>
          <w:szCs w:val="24"/>
          <w:lang w:val="en-GB"/>
        </w:rPr>
        <w:t xml:space="preserve">information provided by the </w:t>
      </w:r>
      <w:proofErr w:type="spellStart"/>
      <w:r w:rsidR="00736E17" w:rsidRPr="00203B80">
        <w:rPr>
          <w:rFonts w:cstheme="minorHAnsi"/>
          <w:sz w:val="24"/>
          <w:szCs w:val="24"/>
          <w:lang w:val="en-GB"/>
        </w:rPr>
        <w:t>Podkrepa</w:t>
      </w:r>
      <w:proofErr w:type="spellEnd"/>
      <w:r w:rsidR="00736E17" w:rsidRPr="00203B80">
        <w:rPr>
          <w:rFonts w:cstheme="minorHAnsi"/>
          <w:sz w:val="24"/>
          <w:szCs w:val="24"/>
          <w:lang w:val="en-GB"/>
        </w:rPr>
        <w:t xml:space="preserve"> Trade Union</w:t>
      </w:r>
      <w:r w:rsidR="000C16D1" w:rsidRPr="00203B80">
        <w:rPr>
          <w:rFonts w:cstheme="minorHAnsi"/>
          <w:sz w:val="24"/>
          <w:szCs w:val="24"/>
          <w:lang w:val="en-GB"/>
        </w:rPr>
        <w:t xml:space="preserve"> from 2021, there were 1589 active collective labour agreements in force, covering 352 000 workers</w:t>
      </w:r>
      <w:r w:rsidR="00D6039A" w:rsidRPr="00203B80">
        <w:rPr>
          <w:rFonts w:cstheme="minorHAnsi"/>
          <w:sz w:val="24"/>
          <w:szCs w:val="24"/>
          <w:lang w:val="en-GB"/>
        </w:rPr>
        <w:t xml:space="preserve"> (Interview BG05)</w:t>
      </w:r>
      <w:r w:rsidR="00B20445" w:rsidRPr="00203B80">
        <w:rPr>
          <w:rFonts w:cstheme="minorHAnsi"/>
          <w:sz w:val="24"/>
          <w:szCs w:val="24"/>
          <w:lang w:val="en-GB"/>
        </w:rPr>
        <w:t xml:space="preserve">. </w:t>
      </w:r>
    </w:p>
    <w:p w14:paraId="2D65D60C" w14:textId="57318325" w:rsidR="0053307E" w:rsidRPr="00F01203" w:rsidRDefault="00BC5D15" w:rsidP="00755845">
      <w:pPr>
        <w:pStyle w:val="Nadpis2"/>
        <w:numPr>
          <w:ilvl w:val="1"/>
          <w:numId w:val="20"/>
        </w:numPr>
        <w:spacing w:line="360" w:lineRule="auto"/>
        <w:contextualSpacing/>
        <w:jc w:val="both"/>
        <w:rPr>
          <w:sz w:val="28"/>
          <w:szCs w:val="24"/>
          <w:lang w:val="en-GB"/>
        </w:rPr>
      </w:pPr>
      <w:bookmarkStart w:id="25" w:name="_Toc174086658"/>
      <w:r>
        <w:rPr>
          <w:sz w:val="28"/>
          <w:szCs w:val="24"/>
          <w:lang w:val="en-GB"/>
        </w:rPr>
        <w:lastRenderedPageBreak/>
        <w:t xml:space="preserve"> </w:t>
      </w:r>
      <w:r w:rsidR="00486458" w:rsidRPr="00F01203">
        <w:rPr>
          <w:sz w:val="28"/>
          <w:szCs w:val="24"/>
          <w:lang w:val="en-GB"/>
        </w:rPr>
        <w:t>The system of wage fixing and wage bargaining</w:t>
      </w:r>
      <w:bookmarkEnd w:id="25"/>
      <w:r w:rsidR="00486458" w:rsidRPr="00F01203">
        <w:rPr>
          <w:sz w:val="28"/>
          <w:szCs w:val="24"/>
          <w:lang w:val="en-GB"/>
        </w:rPr>
        <w:t xml:space="preserve"> </w:t>
      </w:r>
    </w:p>
    <w:p w14:paraId="2B7D71B0" w14:textId="68747836" w:rsidR="007448D0" w:rsidRPr="00203B80" w:rsidRDefault="002F2C53" w:rsidP="00755845">
      <w:pPr>
        <w:spacing w:line="360" w:lineRule="auto"/>
        <w:contextualSpacing/>
        <w:jc w:val="both"/>
        <w:rPr>
          <w:rFonts w:cstheme="minorHAnsi"/>
          <w:sz w:val="24"/>
          <w:szCs w:val="24"/>
          <w:lang w:val="en-GB"/>
        </w:rPr>
      </w:pPr>
      <w:r>
        <w:rPr>
          <w:sz w:val="24"/>
          <w:szCs w:val="24"/>
          <w:lang w:val="en-GB"/>
        </w:rPr>
        <w:tab/>
      </w:r>
      <w:r w:rsidR="00891001" w:rsidRPr="0011716C">
        <w:rPr>
          <w:rFonts w:cstheme="minorHAnsi"/>
          <w:sz w:val="24"/>
          <w:szCs w:val="24"/>
          <w:lang w:val="en-GB"/>
        </w:rPr>
        <w:t>The right to minimum wage is guaranteed to workers and employees in the Article 48(5) of the Constitution as well as anchored in the Labour Code and Decrees no. 129 on transition towards negotiations on wages</w:t>
      </w:r>
      <w:r w:rsidR="007B0F83" w:rsidRPr="0011716C">
        <w:rPr>
          <w:rStyle w:val="Odkaznapoznmkupodiarou"/>
          <w:rFonts w:cstheme="minorHAnsi"/>
          <w:sz w:val="24"/>
          <w:szCs w:val="24"/>
          <w:lang w:val="en-GB"/>
        </w:rPr>
        <w:footnoteReference w:id="16"/>
      </w:r>
      <w:r w:rsidR="00891001" w:rsidRPr="0011716C">
        <w:rPr>
          <w:rFonts w:cstheme="minorHAnsi"/>
          <w:sz w:val="24"/>
          <w:szCs w:val="24"/>
          <w:lang w:val="en-GB"/>
        </w:rPr>
        <w:t>, further in the Collective Agreements and Joint Committees Act</w:t>
      </w:r>
      <w:r w:rsidR="002244E9" w:rsidRPr="00203B80">
        <w:rPr>
          <w:rFonts w:cstheme="minorHAnsi"/>
          <w:sz w:val="24"/>
          <w:szCs w:val="24"/>
          <w:lang w:val="en-GB"/>
        </w:rPr>
        <w:t>,</w:t>
      </w:r>
      <w:r w:rsidR="00891001" w:rsidRPr="00203B80">
        <w:rPr>
          <w:rFonts w:cstheme="minorHAnsi"/>
          <w:sz w:val="24"/>
          <w:szCs w:val="24"/>
          <w:lang w:val="en-GB"/>
        </w:rPr>
        <w:t xml:space="preserve"> and in the Act </w:t>
      </w:r>
      <w:r w:rsidR="007448D0" w:rsidRPr="00203B80">
        <w:rPr>
          <w:rFonts w:cstheme="minorHAnsi"/>
          <w:sz w:val="24"/>
          <w:szCs w:val="24"/>
          <w:lang w:val="en-GB"/>
        </w:rPr>
        <w:t>Concerning Employment Promotion and Competition (</w:t>
      </w:r>
      <w:proofErr w:type="spellStart"/>
      <w:r w:rsidR="007448D0" w:rsidRPr="00203B80">
        <w:rPr>
          <w:rFonts w:cstheme="minorHAnsi"/>
          <w:sz w:val="24"/>
          <w:szCs w:val="24"/>
          <w:lang w:val="en-GB"/>
        </w:rPr>
        <w:t>WageIndicator</w:t>
      </w:r>
      <w:proofErr w:type="spellEnd"/>
      <w:r w:rsidR="00433701">
        <w:rPr>
          <w:rFonts w:cstheme="minorHAnsi"/>
          <w:sz w:val="24"/>
          <w:szCs w:val="24"/>
          <w:lang w:val="en-GB"/>
        </w:rPr>
        <w:t>,</w:t>
      </w:r>
      <w:r w:rsidR="007448D0" w:rsidRPr="00203B80">
        <w:rPr>
          <w:rFonts w:cstheme="minorHAnsi"/>
          <w:sz w:val="24"/>
          <w:szCs w:val="24"/>
          <w:lang w:val="en-GB"/>
        </w:rPr>
        <w:t xml:space="preserve"> 2024)</w:t>
      </w:r>
      <w:r w:rsidR="00891001" w:rsidRPr="0011716C">
        <w:rPr>
          <w:rFonts w:cstheme="minorHAnsi"/>
          <w:sz w:val="24"/>
          <w:szCs w:val="24"/>
          <w:lang w:val="en-GB"/>
        </w:rPr>
        <w:t>.</w:t>
      </w:r>
      <w:r w:rsidR="00CB6023" w:rsidRPr="0011716C">
        <w:rPr>
          <w:rStyle w:val="Odkaznapoznmkupodiarou"/>
          <w:rFonts w:cstheme="minorHAnsi"/>
          <w:sz w:val="24"/>
          <w:szCs w:val="24"/>
          <w:lang w:val="en-GB"/>
        </w:rPr>
        <w:footnoteReference w:id="17"/>
      </w:r>
      <w:r w:rsidR="00891001" w:rsidRPr="0011716C">
        <w:rPr>
          <w:rFonts w:cstheme="minorHAnsi"/>
          <w:sz w:val="24"/>
          <w:szCs w:val="24"/>
          <w:lang w:val="en-GB"/>
        </w:rPr>
        <w:t xml:space="preserve"> </w:t>
      </w:r>
      <w:r w:rsidR="007448D0" w:rsidRPr="0011716C">
        <w:rPr>
          <w:rFonts w:cstheme="minorHAnsi"/>
          <w:sz w:val="24"/>
          <w:szCs w:val="24"/>
          <w:lang w:val="en-GB"/>
        </w:rPr>
        <w:t xml:space="preserve">Bulgaria </w:t>
      </w:r>
      <w:r w:rsidR="00480E0F" w:rsidRPr="00203B80">
        <w:rPr>
          <w:rFonts w:cstheme="minorHAnsi"/>
          <w:sz w:val="24"/>
          <w:szCs w:val="24"/>
          <w:lang w:val="en-GB"/>
        </w:rPr>
        <w:t>sets</w:t>
      </w:r>
      <w:r w:rsidR="007448D0" w:rsidRPr="00203B80">
        <w:rPr>
          <w:rFonts w:cstheme="minorHAnsi"/>
          <w:sz w:val="24"/>
          <w:szCs w:val="24"/>
          <w:lang w:val="en-GB"/>
        </w:rPr>
        <w:t xml:space="preserve"> one national </w:t>
      </w:r>
      <w:r w:rsidR="00480E0F" w:rsidRPr="00203B80">
        <w:rPr>
          <w:rFonts w:cstheme="minorHAnsi"/>
          <w:sz w:val="24"/>
          <w:szCs w:val="24"/>
          <w:lang w:val="en-GB"/>
        </w:rPr>
        <w:t>minimum wage, which currently reaches</w:t>
      </w:r>
      <w:r w:rsidR="00094F92" w:rsidRPr="00203B80">
        <w:rPr>
          <w:rFonts w:cstheme="minorHAnsi"/>
          <w:sz w:val="24"/>
          <w:szCs w:val="24"/>
          <w:lang w:val="en-GB"/>
        </w:rPr>
        <w:t xml:space="preserve"> 933 BGN (</w:t>
      </w:r>
      <w:r w:rsidR="00EA5874" w:rsidRPr="00203B80">
        <w:rPr>
          <w:rFonts w:cstheme="minorHAnsi"/>
          <w:sz w:val="24"/>
          <w:szCs w:val="24"/>
          <w:lang w:val="en-GB"/>
        </w:rPr>
        <w:t>477 EUR) as of January 1</w:t>
      </w:r>
      <w:r w:rsidR="00EA5874" w:rsidRPr="00203B80">
        <w:rPr>
          <w:rFonts w:cstheme="minorHAnsi"/>
          <w:sz w:val="24"/>
          <w:szCs w:val="24"/>
          <w:vertAlign w:val="superscript"/>
          <w:lang w:val="en-GB"/>
        </w:rPr>
        <w:t>st</w:t>
      </w:r>
      <w:r w:rsidR="002F6C9A" w:rsidRPr="00203B80">
        <w:rPr>
          <w:rFonts w:cstheme="minorHAnsi"/>
          <w:sz w:val="24"/>
          <w:szCs w:val="24"/>
          <w:lang w:val="en-GB"/>
        </w:rPr>
        <w:t xml:space="preserve">, </w:t>
      </w:r>
      <w:r w:rsidR="00EA5874" w:rsidRPr="00203B80">
        <w:rPr>
          <w:rFonts w:cstheme="minorHAnsi"/>
          <w:sz w:val="24"/>
          <w:szCs w:val="24"/>
          <w:lang w:val="en-GB"/>
        </w:rPr>
        <w:t>2024</w:t>
      </w:r>
      <w:r w:rsidR="00094F92" w:rsidRPr="00203B80">
        <w:rPr>
          <w:rFonts w:cstheme="minorHAnsi"/>
          <w:sz w:val="24"/>
          <w:szCs w:val="24"/>
          <w:lang w:val="en-GB"/>
        </w:rPr>
        <w:t xml:space="preserve">, an increase of </w:t>
      </w:r>
      <w:r w:rsidR="001F1C88" w:rsidRPr="00203B80">
        <w:rPr>
          <w:rFonts w:cstheme="minorHAnsi"/>
          <w:sz w:val="24"/>
          <w:szCs w:val="24"/>
          <w:lang w:val="en-GB"/>
        </w:rPr>
        <w:t xml:space="preserve">153 BGN </w:t>
      </w:r>
      <w:r w:rsidR="002A14E3" w:rsidRPr="00203B80">
        <w:rPr>
          <w:rFonts w:cstheme="minorHAnsi"/>
          <w:sz w:val="24"/>
          <w:szCs w:val="24"/>
          <w:lang w:val="en-GB"/>
        </w:rPr>
        <w:t xml:space="preserve">(78 EUR) </w:t>
      </w:r>
      <w:r w:rsidR="001F1C88" w:rsidRPr="00203B80">
        <w:rPr>
          <w:rFonts w:cstheme="minorHAnsi"/>
          <w:sz w:val="24"/>
          <w:szCs w:val="24"/>
          <w:lang w:val="en-GB"/>
        </w:rPr>
        <w:t>or 20%</w:t>
      </w:r>
      <w:r w:rsidR="00891001" w:rsidRPr="00203B80">
        <w:rPr>
          <w:rFonts w:cstheme="minorHAnsi"/>
          <w:sz w:val="24"/>
          <w:szCs w:val="24"/>
          <w:lang w:val="en-GB"/>
        </w:rPr>
        <w:t xml:space="preserve">. </w:t>
      </w:r>
      <w:r w:rsidR="00094F92" w:rsidRPr="00203B80">
        <w:rPr>
          <w:rFonts w:cstheme="minorHAnsi"/>
          <w:sz w:val="24"/>
          <w:szCs w:val="24"/>
          <w:lang w:val="en-GB"/>
        </w:rPr>
        <w:t xml:space="preserve">The increase from January 2024, has been done following a newly adopted mechanism, in line with the </w:t>
      </w:r>
      <w:r w:rsidR="00EA5874" w:rsidRPr="00203B80">
        <w:rPr>
          <w:rFonts w:cstheme="minorHAnsi"/>
          <w:sz w:val="24"/>
          <w:szCs w:val="24"/>
          <w:lang w:val="en-GB"/>
        </w:rPr>
        <w:t xml:space="preserve">EU Directive </w:t>
      </w:r>
      <w:r w:rsidR="00862ED2" w:rsidRPr="00203B80">
        <w:rPr>
          <w:rFonts w:cstheme="minorHAnsi"/>
          <w:sz w:val="24"/>
          <w:szCs w:val="24"/>
          <w:lang w:val="en-GB"/>
        </w:rPr>
        <w:t xml:space="preserve">2022/2041 on adequate minimum wages in the European Union. </w:t>
      </w:r>
    </w:p>
    <w:p w14:paraId="115DEE4C" w14:textId="5734AE65" w:rsidR="00407167" w:rsidRPr="00203B80" w:rsidRDefault="00203B80" w:rsidP="00755845">
      <w:pPr>
        <w:spacing w:line="360" w:lineRule="auto"/>
        <w:contextualSpacing/>
        <w:jc w:val="both"/>
        <w:rPr>
          <w:rFonts w:cstheme="minorHAnsi"/>
          <w:sz w:val="24"/>
          <w:szCs w:val="24"/>
          <w:lang w:val="en-GB"/>
        </w:rPr>
      </w:pPr>
      <w:r w:rsidRPr="00203B80">
        <w:rPr>
          <w:rFonts w:cstheme="minorHAnsi"/>
          <w:sz w:val="24"/>
          <w:szCs w:val="24"/>
          <w:lang w:val="en-GB"/>
        </w:rPr>
        <w:tab/>
      </w:r>
      <w:r w:rsidR="00862ED2" w:rsidRPr="00203B80">
        <w:rPr>
          <w:rFonts w:cstheme="minorHAnsi"/>
          <w:sz w:val="24"/>
          <w:szCs w:val="24"/>
          <w:lang w:val="en-GB"/>
        </w:rPr>
        <w:t xml:space="preserve">The new mechanism for minimum wage setting adopts the approach of the minimum wage </w:t>
      </w:r>
      <w:r w:rsidR="007448D0" w:rsidRPr="00203B80">
        <w:rPr>
          <w:rFonts w:cstheme="minorHAnsi"/>
          <w:sz w:val="24"/>
          <w:szCs w:val="24"/>
          <w:lang w:val="en-GB"/>
        </w:rPr>
        <w:t>being equivalent to</w:t>
      </w:r>
      <w:r w:rsidR="00862ED2" w:rsidRPr="00203B80">
        <w:rPr>
          <w:rFonts w:cstheme="minorHAnsi"/>
          <w:sz w:val="24"/>
          <w:szCs w:val="24"/>
          <w:lang w:val="en-GB"/>
        </w:rPr>
        <w:t xml:space="preserve"> at least 50% of the average </w:t>
      </w:r>
      <w:r w:rsidR="007448D0" w:rsidRPr="00203B80">
        <w:rPr>
          <w:rFonts w:cstheme="minorHAnsi"/>
          <w:sz w:val="24"/>
          <w:szCs w:val="24"/>
          <w:lang w:val="en-GB"/>
        </w:rPr>
        <w:t xml:space="preserve">gross </w:t>
      </w:r>
      <w:r w:rsidR="00862ED2" w:rsidRPr="00203B80">
        <w:rPr>
          <w:rFonts w:cstheme="minorHAnsi"/>
          <w:sz w:val="24"/>
          <w:szCs w:val="24"/>
          <w:lang w:val="en-GB"/>
        </w:rPr>
        <w:t>wage</w:t>
      </w:r>
      <w:r w:rsidR="001F1C88" w:rsidRPr="00203B80">
        <w:rPr>
          <w:rFonts w:cstheme="minorHAnsi"/>
          <w:sz w:val="24"/>
          <w:szCs w:val="24"/>
          <w:lang w:val="en-GB"/>
        </w:rPr>
        <w:t xml:space="preserve"> of a 12-month period</w:t>
      </w:r>
      <w:r w:rsidR="00862ED2" w:rsidRPr="00203B80">
        <w:rPr>
          <w:rFonts w:cstheme="minorHAnsi"/>
          <w:sz w:val="24"/>
          <w:szCs w:val="24"/>
          <w:lang w:val="en-GB"/>
        </w:rPr>
        <w:t xml:space="preserve">, </w:t>
      </w:r>
      <w:r w:rsidR="00A61BE1" w:rsidRPr="00203B80">
        <w:rPr>
          <w:rFonts w:cstheme="minorHAnsi"/>
          <w:sz w:val="24"/>
          <w:szCs w:val="24"/>
          <w:lang w:val="en-GB"/>
        </w:rPr>
        <w:t>that includes the first two quarters of the current year and last two quarters of the previous year</w:t>
      </w:r>
      <w:r w:rsidR="00862ED2" w:rsidRPr="00203B80">
        <w:rPr>
          <w:rFonts w:cstheme="minorHAnsi"/>
          <w:sz w:val="24"/>
          <w:szCs w:val="24"/>
          <w:lang w:val="en-GB"/>
        </w:rPr>
        <w:t xml:space="preserve"> as the base for calculating the minimum wage, which takes place </w:t>
      </w:r>
      <w:r w:rsidR="007448D0" w:rsidRPr="00203B80">
        <w:rPr>
          <w:rFonts w:cstheme="minorHAnsi"/>
          <w:sz w:val="24"/>
          <w:szCs w:val="24"/>
          <w:lang w:val="en-GB"/>
        </w:rPr>
        <w:t xml:space="preserve">annually </w:t>
      </w:r>
      <w:r w:rsidR="00862ED2" w:rsidRPr="00203B80">
        <w:rPr>
          <w:rFonts w:cstheme="minorHAnsi"/>
          <w:sz w:val="24"/>
          <w:szCs w:val="24"/>
          <w:lang w:val="en-GB"/>
        </w:rPr>
        <w:t>in autumn</w:t>
      </w:r>
      <w:r w:rsidR="001F1C88" w:rsidRPr="00203B80">
        <w:rPr>
          <w:rFonts w:cstheme="minorHAnsi"/>
          <w:sz w:val="24"/>
          <w:szCs w:val="24"/>
          <w:lang w:val="en-GB"/>
        </w:rPr>
        <w:t xml:space="preserve"> on September 1st</w:t>
      </w:r>
      <w:r w:rsidR="00862ED2" w:rsidRPr="00203B80">
        <w:rPr>
          <w:rFonts w:cstheme="minorHAnsi"/>
          <w:sz w:val="24"/>
          <w:szCs w:val="24"/>
          <w:lang w:val="en-GB"/>
        </w:rPr>
        <w:t xml:space="preserve">. According to experts, this mechanism </w:t>
      </w:r>
      <w:r w:rsidR="00A94B2F" w:rsidRPr="00203B80">
        <w:rPr>
          <w:rFonts w:cstheme="minorHAnsi"/>
          <w:sz w:val="24"/>
          <w:szCs w:val="24"/>
          <w:lang w:val="en-GB"/>
        </w:rPr>
        <w:t>does not sufficiently reflect on large regional differenc</w:t>
      </w:r>
      <w:r w:rsidR="00A56058" w:rsidRPr="00203B80">
        <w:rPr>
          <w:rFonts w:cstheme="minorHAnsi"/>
          <w:sz w:val="24"/>
          <w:szCs w:val="24"/>
          <w:lang w:val="en-GB"/>
        </w:rPr>
        <w:t>es in average wages in Bulgaria</w:t>
      </w:r>
      <w:r w:rsidR="00407167" w:rsidRPr="00203B80">
        <w:rPr>
          <w:rFonts w:cstheme="minorHAnsi"/>
          <w:sz w:val="24"/>
          <w:szCs w:val="24"/>
          <w:lang w:val="en-GB"/>
        </w:rPr>
        <w:t xml:space="preserve"> (</w:t>
      </w:r>
      <w:proofErr w:type="spellStart"/>
      <w:r w:rsidR="00407167" w:rsidRPr="00203B80">
        <w:rPr>
          <w:rFonts w:cstheme="minorHAnsi"/>
          <w:sz w:val="24"/>
          <w:szCs w:val="24"/>
          <w:lang w:val="en-GB"/>
        </w:rPr>
        <w:t>Nikolov</w:t>
      </w:r>
      <w:proofErr w:type="spellEnd"/>
      <w:r w:rsidR="00407167" w:rsidRPr="00203B80">
        <w:rPr>
          <w:rFonts w:cstheme="minorHAnsi"/>
          <w:sz w:val="24"/>
          <w:szCs w:val="24"/>
          <w:lang w:val="en-GB"/>
        </w:rPr>
        <w:t xml:space="preserve"> </w:t>
      </w:r>
      <w:r w:rsidR="00237C73" w:rsidRPr="00203B80">
        <w:rPr>
          <w:rFonts w:cstheme="minorHAnsi"/>
          <w:sz w:val="24"/>
          <w:szCs w:val="24"/>
          <w:lang w:val="en-GB"/>
        </w:rPr>
        <w:t xml:space="preserve">&amp; </w:t>
      </w:r>
      <w:proofErr w:type="spellStart"/>
      <w:r w:rsidR="00407167" w:rsidRPr="00203B80">
        <w:rPr>
          <w:rFonts w:cstheme="minorHAnsi"/>
          <w:sz w:val="24"/>
          <w:szCs w:val="24"/>
          <w:lang w:val="en-GB"/>
        </w:rPr>
        <w:t>Ime</w:t>
      </w:r>
      <w:proofErr w:type="spellEnd"/>
      <w:r w:rsidR="00433701">
        <w:rPr>
          <w:rFonts w:cstheme="minorHAnsi"/>
          <w:sz w:val="24"/>
          <w:szCs w:val="24"/>
          <w:lang w:val="en-GB"/>
        </w:rPr>
        <w:t>,</w:t>
      </w:r>
      <w:r w:rsidR="00F64CF2" w:rsidRPr="00203B80">
        <w:rPr>
          <w:rFonts w:cstheme="minorHAnsi"/>
          <w:sz w:val="24"/>
          <w:szCs w:val="24"/>
          <w:lang w:val="en-GB"/>
        </w:rPr>
        <w:t xml:space="preserve"> 2024</w:t>
      </w:r>
      <w:r w:rsidR="00407167" w:rsidRPr="00203B80">
        <w:rPr>
          <w:rFonts w:cstheme="minorHAnsi"/>
          <w:sz w:val="24"/>
          <w:szCs w:val="24"/>
          <w:lang w:val="en-GB"/>
        </w:rPr>
        <w:t>).</w:t>
      </w:r>
    </w:p>
    <w:p w14:paraId="4828CFF4" w14:textId="1B133F6C" w:rsidR="007B04C8" w:rsidRDefault="00562C85" w:rsidP="007B04C8">
      <w:pPr>
        <w:spacing w:line="360" w:lineRule="auto"/>
        <w:ind w:firstLine="709"/>
        <w:contextualSpacing/>
        <w:jc w:val="both"/>
        <w:rPr>
          <w:rFonts w:cstheme="minorHAnsi"/>
          <w:sz w:val="24"/>
          <w:szCs w:val="24"/>
          <w:lang w:val="en-GB"/>
        </w:rPr>
      </w:pPr>
      <w:r w:rsidRPr="00203B80">
        <w:rPr>
          <w:rFonts w:cstheme="minorHAnsi"/>
          <w:sz w:val="24"/>
          <w:szCs w:val="24"/>
          <w:lang w:val="en-GB"/>
        </w:rPr>
        <w:t xml:space="preserve">According to </w:t>
      </w:r>
      <w:r w:rsidR="00DF4318" w:rsidRPr="00203B80">
        <w:rPr>
          <w:rFonts w:cstheme="minorHAnsi"/>
          <w:sz w:val="24"/>
          <w:szCs w:val="24"/>
          <w:lang w:val="en-GB"/>
        </w:rPr>
        <w:t>OECD</w:t>
      </w:r>
      <w:r w:rsidRPr="00203B80">
        <w:rPr>
          <w:rFonts w:cstheme="minorHAnsi"/>
          <w:sz w:val="24"/>
          <w:szCs w:val="24"/>
          <w:lang w:val="en-GB"/>
        </w:rPr>
        <w:t xml:space="preserve"> findings</w:t>
      </w:r>
      <w:r w:rsidR="00A94B2F" w:rsidRPr="00203B80">
        <w:rPr>
          <w:rFonts w:cstheme="minorHAnsi"/>
          <w:sz w:val="24"/>
          <w:szCs w:val="24"/>
          <w:lang w:val="en-GB"/>
        </w:rPr>
        <w:t xml:space="preserve">, </w:t>
      </w:r>
      <w:r w:rsidR="007448D0" w:rsidRPr="00203B80">
        <w:rPr>
          <w:rFonts w:cstheme="minorHAnsi"/>
          <w:sz w:val="24"/>
          <w:szCs w:val="24"/>
          <w:lang w:val="en-GB"/>
        </w:rPr>
        <w:t xml:space="preserve">prior to 2024 </w:t>
      </w:r>
      <w:r w:rsidR="00A56058" w:rsidRPr="00203B80">
        <w:rPr>
          <w:rFonts w:cstheme="minorHAnsi"/>
          <w:sz w:val="24"/>
          <w:szCs w:val="24"/>
          <w:lang w:val="en-GB"/>
        </w:rPr>
        <w:t>Bulgaria did not have a clearly defined mechanism for annual minimum wage setting</w:t>
      </w:r>
      <w:r w:rsidRPr="00203B80">
        <w:rPr>
          <w:rFonts w:cstheme="minorHAnsi"/>
          <w:sz w:val="24"/>
          <w:szCs w:val="24"/>
          <w:lang w:val="en-GB"/>
        </w:rPr>
        <w:t xml:space="preserve"> due to disagreements among social partners</w:t>
      </w:r>
      <w:r w:rsidR="00370634" w:rsidRPr="0011716C">
        <w:rPr>
          <w:rFonts w:cstheme="minorHAnsi"/>
          <w:sz w:val="24"/>
          <w:szCs w:val="24"/>
          <w:lang w:val="en-GB"/>
        </w:rPr>
        <w:t>.</w:t>
      </w:r>
      <w:r w:rsidR="007B04C8" w:rsidRPr="0011716C">
        <w:rPr>
          <w:rStyle w:val="Odkaznapoznmkupodiarou"/>
          <w:rFonts w:cstheme="minorHAnsi"/>
          <w:sz w:val="24"/>
          <w:szCs w:val="24"/>
          <w:lang w:val="en-GB"/>
        </w:rPr>
        <w:footnoteReference w:id="18"/>
      </w:r>
      <w:r w:rsidR="00A56058" w:rsidRPr="0011716C">
        <w:rPr>
          <w:rFonts w:cstheme="minorHAnsi"/>
          <w:sz w:val="24"/>
          <w:szCs w:val="24"/>
          <w:lang w:val="en-GB"/>
        </w:rPr>
        <w:t xml:space="preserve"> </w:t>
      </w:r>
      <w:r w:rsidR="00370634" w:rsidRPr="00203B80">
        <w:rPr>
          <w:rFonts w:cstheme="minorHAnsi"/>
          <w:sz w:val="24"/>
          <w:szCs w:val="24"/>
          <w:lang w:val="en-GB"/>
        </w:rPr>
        <w:t>I</w:t>
      </w:r>
      <w:r w:rsidR="00A56058" w:rsidRPr="00203B80">
        <w:rPr>
          <w:rFonts w:cstheme="minorHAnsi"/>
          <w:sz w:val="24"/>
          <w:szCs w:val="24"/>
          <w:lang w:val="en-GB"/>
        </w:rPr>
        <w:t>n general</w:t>
      </w:r>
      <w:r w:rsidR="002244E9" w:rsidRPr="00203B80">
        <w:rPr>
          <w:rFonts w:cstheme="minorHAnsi"/>
          <w:sz w:val="24"/>
          <w:szCs w:val="24"/>
          <w:lang w:val="en-GB"/>
        </w:rPr>
        <w:t>,</w:t>
      </w:r>
      <w:r w:rsidR="00A56058" w:rsidRPr="00203B80">
        <w:rPr>
          <w:rFonts w:cstheme="minorHAnsi"/>
          <w:sz w:val="24"/>
          <w:szCs w:val="24"/>
          <w:lang w:val="en-GB"/>
        </w:rPr>
        <w:t xml:space="preserve"> minimum wage tripartite consultations</w:t>
      </w:r>
      <w:r w:rsidRPr="00203B80">
        <w:rPr>
          <w:rFonts w:cstheme="minorHAnsi"/>
          <w:sz w:val="24"/>
          <w:szCs w:val="24"/>
          <w:lang w:val="en-GB"/>
        </w:rPr>
        <w:t xml:space="preserve"> </w:t>
      </w:r>
      <w:r w:rsidR="00891001" w:rsidRPr="00203B80">
        <w:rPr>
          <w:rFonts w:cstheme="minorHAnsi"/>
          <w:sz w:val="24"/>
          <w:szCs w:val="24"/>
          <w:lang w:val="en-GB"/>
        </w:rPr>
        <w:t>take</w:t>
      </w:r>
      <w:r w:rsidRPr="00203B80">
        <w:rPr>
          <w:rFonts w:cstheme="minorHAnsi"/>
          <w:sz w:val="24"/>
          <w:szCs w:val="24"/>
          <w:lang w:val="en-GB"/>
        </w:rPr>
        <w:t xml:space="preserve"> place as part of the Income and Living Standards Committee of the National Council for Tripartite Cooperation (NCTC)</w:t>
      </w:r>
      <w:r w:rsidRPr="0011716C">
        <w:rPr>
          <w:rFonts w:cstheme="minorHAnsi"/>
          <w:sz w:val="24"/>
          <w:szCs w:val="24"/>
          <w:lang w:val="en-GB"/>
        </w:rPr>
        <w:t>.</w:t>
      </w:r>
      <w:r w:rsidR="007B04C8" w:rsidRPr="0011716C">
        <w:rPr>
          <w:rStyle w:val="Odkaznapoznmkupodiarou"/>
          <w:rFonts w:cstheme="minorHAnsi"/>
          <w:sz w:val="24"/>
          <w:szCs w:val="24"/>
          <w:lang w:val="en-GB"/>
        </w:rPr>
        <w:footnoteReference w:id="19"/>
      </w:r>
      <w:r w:rsidR="00A56058" w:rsidRPr="0011716C">
        <w:rPr>
          <w:rFonts w:cstheme="minorHAnsi"/>
          <w:sz w:val="24"/>
          <w:szCs w:val="24"/>
          <w:lang w:val="en-GB"/>
        </w:rPr>
        <w:t xml:space="preserve"> </w:t>
      </w:r>
      <w:r w:rsidR="00370634" w:rsidRPr="00203B80">
        <w:rPr>
          <w:rFonts w:cstheme="minorHAnsi"/>
          <w:sz w:val="24"/>
          <w:szCs w:val="24"/>
          <w:lang w:val="en-GB"/>
        </w:rPr>
        <w:t>The issue of official and transparent minimum wage setting mechanism has been repeatedly raised within the EU Semester framework and has been included in the Country Specific Recommendations (CSRs) since 2014 and in 2016 an expert working group has been set up with trade union and employer representatives, which prepared a Conceptual model for setting the minimum wage. This proposal has not been accepted due to disagreements of the social partners related to the level of the upper threshold of the minimum wage (</w:t>
      </w:r>
      <w:proofErr w:type="spellStart"/>
      <w:r w:rsidR="00370634" w:rsidRPr="00203B80">
        <w:rPr>
          <w:rFonts w:cstheme="minorHAnsi"/>
          <w:sz w:val="24"/>
          <w:szCs w:val="24"/>
          <w:lang w:val="en-GB"/>
        </w:rPr>
        <w:t>Kahancová</w:t>
      </w:r>
      <w:proofErr w:type="spellEnd"/>
      <w:r w:rsidR="00370634" w:rsidRPr="00203B80">
        <w:rPr>
          <w:rFonts w:cstheme="minorHAnsi"/>
          <w:sz w:val="24"/>
          <w:szCs w:val="24"/>
          <w:lang w:val="en-GB"/>
        </w:rPr>
        <w:t xml:space="preserve"> </w:t>
      </w:r>
      <w:r w:rsidR="00237C73" w:rsidRPr="00203B80">
        <w:rPr>
          <w:rFonts w:cstheme="minorHAnsi"/>
          <w:sz w:val="24"/>
          <w:szCs w:val="24"/>
          <w:lang w:val="en-GB"/>
        </w:rPr>
        <w:t xml:space="preserve">&amp; </w:t>
      </w:r>
      <w:r w:rsidR="007B04C8">
        <w:rPr>
          <w:rFonts w:cstheme="minorHAnsi"/>
          <w:sz w:val="24"/>
          <w:szCs w:val="24"/>
          <w:lang w:val="en-GB"/>
        </w:rPr>
        <w:t>Kirov</w:t>
      </w:r>
      <w:r w:rsidR="00433701">
        <w:rPr>
          <w:rFonts w:cstheme="minorHAnsi"/>
          <w:sz w:val="24"/>
          <w:szCs w:val="24"/>
          <w:lang w:val="en-GB"/>
        </w:rPr>
        <w:t>,</w:t>
      </w:r>
      <w:r w:rsidR="00370634" w:rsidRPr="00203B80">
        <w:rPr>
          <w:rFonts w:cstheme="minorHAnsi"/>
          <w:sz w:val="24"/>
          <w:szCs w:val="24"/>
          <w:lang w:val="en-GB"/>
        </w:rPr>
        <w:t xml:space="preserve"> 2021). </w:t>
      </w:r>
      <w:r w:rsidRPr="00203B80">
        <w:rPr>
          <w:rFonts w:cstheme="minorHAnsi"/>
          <w:sz w:val="24"/>
          <w:szCs w:val="24"/>
          <w:lang w:val="en-GB"/>
        </w:rPr>
        <w:t xml:space="preserve">In </w:t>
      </w:r>
      <w:r w:rsidR="00A56058" w:rsidRPr="00203B80">
        <w:rPr>
          <w:rFonts w:cstheme="minorHAnsi"/>
          <w:sz w:val="24"/>
          <w:szCs w:val="24"/>
          <w:lang w:val="en-GB"/>
        </w:rPr>
        <w:t>2018</w:t>
      </w:r>
      <w:r w:rsidRPr="00203B80">
        <w:rPr>
          <w:rFonts w:cstheme="minorHAnsi"/>
          <w:sz w:val="24"/>
          <w:szCs w:val="24"/>
          <w:lang w:val="en-GB"/>
        </w:rPr>
        <w:t xml:space="preserve"> Bulgaria</w:t>
      </w:r>
      <w:r w:rsidR="00A56058" w:rsidRPr="00203B80">
        <w:rPr>
          <w:rFonts w:cstheme="minorHAnsi"/>
          <w:sz w:val="24"/>
          <w:szCs w:val="24"/>
          <w:lang w:val="en-GB"/>
        </w:rPr>
        <w:t xml:space="preserve"> ratified the International Labour </w:t>
      </w:r>
      <w:r w:rsidR="00FB19D9" w:rsidRPr="00203B80">
        <w:rPr>
          <w:rFonts w:cstheme="minorHAnsi"/>
          <w:sz w:val="24"/>
          <w:szCs w:val="24"/>
          <w:lang w:val="en-GB"/>
        </w:rPr>
        <w:t>Organization</w:t>
      </w:r>
      <w:r w:rsidR="00A56058" w:rsidRPr="00203B80">
        <w:rPr>
          <w:rFonts w:cstheme="minorHAnsi"/>
          <w:sz w:val="24"/>
          <w:szCs w:val="24"/>
          <w:lang w:val="en-GB"/>
        </w:rPr>
        <w:t xml:space="preserve"> Convention C131</w:t>
      </w:r>
      <w:r w:rsidRPr="00203B80">
        <w:rPr>
          <w:rFonts w:cstheme="minorHAnsi"/>
          <w:sz w:val="24"/>
          <w:szCs w:val="24"/>
          <w:lang w:val="en-GB"/>
        </w:rPr>
        <w:t xml:space="preserve"> on</w:t>
      </w:r>
      <w:r w:rsidR="00A56058" w:rsidRPr="00203B80">
        <w:rPr>
          <w:rFonts w:cstheme="minorHAnsi"/>
          <w:sz w:val="24"/>
          <w:szCs w:val="24"/>
          <w:lang w:val="en-GB"/>
        </w:rPr>
        <w:t xml:space="preserve"> Minimum Wage Fixing</w:t>
      </w:r>
      <w:r w:rsidR="00480E0F" w:rsidRPr="00203B80">
        <w:rPr>
          <w:rFonts w:cstheme="minorHAnsi"/>
          <w:sz w:val="24"/>
          <w:szCs w:val="24"/>
          <w:lang w:val="en-GB"/>
        </w:rPr>
        <w:t>.</w:t>
      </w:r>
      <w:r w:rsidRPr="0011716C">
        <w:rPr>
          <w:rStyle w:val="Odkaznapoznmkupodiarou"/>
          <w:rFonts w:cstheme="minorHAnsi"/>
          <w:sz w:val="24"/>
          <w:szCs w:val="24"/>
          <w:lang w:val="en-GB"/>
        </w:rPr>
        <w:footnoteReference w:id="20"/>
      </w:r>
      <w:r w:rsidR="00A56058" w:rsidRPr="0011716C">
        <w:rPr>
          <w:rFonts w:cstheme="minorHAnsi"/>
          <w:sz w:val="24"/>
          <w:szCs w:val="24"/>
          <w:lang w:val="en-GB"/>
        </w:rPr>
        <w:t xml:space="preserve"> </w:t>
      </w:r>
    </w:p>
    <w:p w14:paraId="07554360" w14:textId="666DF2F0" w:rsidR="00BC52FC" w:rsidRPr="00203B80" w:rsidRDefault="00B53FDA" w:rsidP="007B04C8">
      <w:pPr>
        <w:spacing w:line="360" w:lineRule="auto"/>
        <w:ind w:firstLine="709"/>
        <w:contextualSpacing/>
        <w:jc w:val="both"/>
        <w:rPr>
          <w:rFonts w:cstheme="minorHAnsi"/>
          <w:sz w:val="24"/>
          <w:szCs w:val="24"/>
          <w:lang w:val="en-GB"/>
        </w:rPr>
      </w:pPr>
      <w:r w:rsidRPr="0011716C">
        <w:rPr>
          <w:rFonts w:cstheme="minorHAnsi"/>
          <w:sz w:val="24"/>
          <w:szCs w:val="24"/>
          <w:lang w:val="en-GB"/>
        </w:rPr>
        <w:lastRenderedPageBreak/>
        <w:t xml:space="preserve">In addition to the statutory minimum wage, negotiations are practiced also around the so-called 'minimum insurance income' (MII), which serves as the basis for calculating the minimum social security contributions across nine professional categories for each economic </w:t>
      </w:r>
      <w:r w:rsidR="007B04C8">
        <w:rPr>
          <w:rFonts w:cstheme="minorHAnsi"/>
          <w:sz w:val="24"/>
          <w:szCs w:val="24"/>
          <w:lang w:val="en-GB"/>
        </w:rPr>
        <w:t xml:space="preserve">sector </w:t>
      </w:r>
      <w:r w:rsidRPr="0011716C">
        <w:rPr>
          <w:rFonts w:cstheme="minorHAnsi"/>
          <w:sz w:val="24"/>
          <w:szCs w:val="24"/>
          <w:lang w:val="en-GB"/>
        </w:rPr>
        <w:t>(Kirov</w:t>
      </w:r>
      <w:r w:rsidR="00433701">
        <w:rPr>
          <w:rFonts w:cstheme="minorHAnsi"/>
          <w:sz w:val="24"/>
          <w:szCs w:val="24"/>
          <w:lang w:val="en-GB"/>
        </w:rPr>
        <w:t>,</w:t>
      </w:r>
      <w:r w:rsidRPr="0011716C">
        <w:rPr>
          <w:rFonts w:cstheme="minorHAnsi"/>
          <w:sz w:val="24"/>
          <w:szCs w:val="24"/>
          <w:lang w:val="en-GB"/>
        </w:rPr>
        <w:t xml:space="preserve"> 2019)</w:t>
      </w:r>
      <w:r w:rsidR="00C9724F">
        <w:rPr>
          <w:rFonts w:cstheme="minorHAnsi"/>
          <w:sz w:val="24"/>
          <w:szCs w:val="24"/>
          <w:lang w:val="en-GB"/>
        </w:rPr>
        <w:t>, which the employer is required to pay</w:t>
      </w:r>
      <w:r w:rsidRPr="0011716C">
        <w:rPr>
          <w:rFonts w:cstheme="minorHAnsi"/>
          <w:sz w:val="24"/>
          <w:szCs w:val="24"/>
          <w:lang w:val="en-GB"/>
        </w:rPr>
        <w:t xml:space="preserve">. </w:t>
      </w:r>
      <w:r w:rsidR="00C9724F">
        <w:rPr>
          <w:rFonts w:cstheme="minorHAnsi"/>
          <w:sz w:val="24"/>
          <w:szCs w:val="24"/>
          <w:lang w:val="en-GB"/>
        </w:rPr>
        <w:t xml:space="preserve">Similarly, there is a maximum insurance income from which social security contributions are paid by the employer, as of </w:t>
      </w:r>
      <w:r w:rsidR="00E57170">
        <w:rPr>
          <w:rFonts w:cstheme="minorHAnsi"/>
          <w:sz w:val="24"/>
          <w:szCs w:val="24"/>
          <w:lang w:val="en-GB"/>
        </w:rPr>
        <w:t>January 1</w:t>
      </w:r>
      <w:r w:rsidR="00E57170" w:rsidRPr="00F01203">
        <w:rPr>
          <w:rFonts w:cstheme="minorHAnsi"/>
          <w:sz w:val="24"/>
          <w:szCs w:val="24"/>
          <w:vertAlign w:val="superscript"/>
          <w:lang w:val="en-GB"/>
        </w:rPr>
        <w:t>st</w:t>
      </w:r>
      <w:r w:rsidR="00E57170">
        <w:rPr>
          <w:rFonts w:cstheme="minorHAnsi"/>
          <w:sz w:val="24"/>
          <w:szCs w:val="24"/>
          <w:lang w:val="en-GB"/>
        </w:rPr>
        <w:t xml:space="preserve">, </w:t>
      </w:r>
      <w:r w:rsidR="00C9724F">
        <w:rPr>
          <w:rFonts w:cstheme="minorHAnsi"/>
          <w:sz w:val="24"/>
          <w:szCs w:val="24"/>
          <w:lang w:val="en-GB"/>
        </w:rPr>
        <w:t xml:space="preserve">2024 </w:t>
      </w:r>
      <w:r w:rsidR="00433701">
        <w:rPr>
          <w:rFonts w:cstheme="minorHAnsi"/>
          <w:sz w:val="24"/>
          <w:szCs w:val="24"/>
          <w:lang w:val="en-GB"/>
        </w:rPr>
        <w:t xml:space="preserve">at the level of BGN 3 </w:t>
      </w:r>
      <w:r w:rsidR="00E57170">
        <w:rPr>
          <w:rFonts w:cstheme="minorHAnsi"/>
          <w:sz w:val="24"/>
          <w:szCs w:val="24"/>
          <w:lang w:val="en-GB"/>
        </w:rPr>
        <w:t>750, agreed upon by the National Assembly. For illustration, the minimum insurance income for self-employed persons, farmers, and tobacco growers increased form BGN 780</w:t>
      </w:r>
      <w:r w:rsidR="001A13A3">
        <w:rPr>
          <w:rFonts w:cstheme="minorHAnsi"/>
          <w:sz w:val="24"/>
          <w:szCs w:val="24"/>
          <w:lang w:val="en-GB"/>
        </w:rPr>
        <w:t xml:space="preserve"> (399 EUR)</w:t>
      </w:r>
      <w:r w:rsidR="00E57170">
        <w:rPr>
          <w:rFonts w:cstheme="minorHAnsi"/>
          <w:sz w:val="24"/>
          <w:szCs w:val="24"/>
          <w:lang w:val="en-GB"/>
        </w:rPr>
        <w:t xml:space="preserve"> to BGN 933 </w:t>
      </w:r>
      <w:r w:rsidR="001A13A3">
        <w:rPr>
          <w:rFonts w:cstheme="minorHAnsi"/>
          <w:sz w:val="24"/>
          <w:szCs w:val="24"/>
          <w:lang w:val="en-GB"/>
        </w:rPr>
        <w:t xml:space="preserve">(477 EUR) </w:t>
      </w:r>
      <w:r w:rsidR="00E57170">
        <w:rPr>
          <w:rFonts w:cstheme="minorHAnsi"/>
          <w:sz w:val="24"/>
          <w:szCs w:val="24"/>
          <w:lang w:val="en-GB"/>
        </w:rPr>
        <w:t>as of J</w:t>
      </w:r>
      <w:r w:rsidR="001A13A3">
        <w:rPr>
          <w:rFonts w:cstheme="minorHAnsi"/>
          <w:sz w:val="24"/>
          <w:szCs w:val="24"/>
          <w:lang w:val="en-GB"/>
        </w:rPr>
        <w:t>anuary 1st</w:t>
      </w:r>
      <w:r w:rsidR="00E57170">
        <w:rPr>
          <w:rFonts w:cstheme="minorHAnsi"/>
          <w:sz w:val="24"/>
          <w:szCs w:val="24"/>
          <w:lang w:val="en-GB"/>
        </w:rPr>
        <w:t>, 2024.</w:t>
      </w:r>
      <w:r w:rsidR="001A13A3">
        <w:rPr>
          <w:rStyle w:val="Odkaznapoznmkupodiarou"/>
          <w:rFonts w:cstheme="minorHAnsi"/>
          <w:sz w:val="24"/>
          <w:szCs w:val="24"/>
          <w:lang w:val="en-GB"/>
        </w:rPr>
        <w:footnoteReference w:id="21"/>
      </w:r>
      <w:r w:rsidR="00E57170">
        <w:rPr>
          <w:rFonts w:cstheme="minorHAnsi"/>
          <w:sz w:val="24"/>
          <w:szCs w:val="24"/>
          <w:lang w:val="en-GB"/>
        </w:rPr>
        <w:t xml:space="preserve"> </w:t>
      </w:r>
      <w:r w:rsidRPr="0011716C">
        <w:rPr>
          <w:rFonts w:cstheme="minorHAnsi"/>
          <w:sz w:val="24"/>
          <w:szCs w:val="24"/>
          <w:lang w:val="en-GB"/>
        </w:rPr>
        <w:t>If industry-level social partners cannot reach an agreement on the MII, it is adm</w:t>
      </w:r>
      <w:r w:rsidRPr="00203B80">
        <w:rPr>
          <w:rFonts w:cstheme="minorHAnsi"/>
          <w:sz w:val="24"/>
          <w:szCs w:val="24"/>
          <w:lang w:val="en-GB"/>
        </w:rPr>
        <w:t>inistratively set by the Ministry of Labour and Social Policy. In the years 2016, 2017, and 2018, employers' organizations withdrew from these MII negotiations. While the government establishes the monthly minimum statutory wage, higher minimum wage levels can potentially be negotiated at the industry or company level, although this is a rare occurrence in practice (</w:t>
      </w:r>
      <w:r w:rsidR="00E57170">
        <w:rPr>
          <w:rFonts w:cstheme="minorHAnsi"/>
          <w:sz w:val="24"/>
          <w:szCs w:val="24"/>
          <w:lang w:val="en-GB"/>
        </w:rPr>
        <w:t>Kirov</w:t>
      </w:r>
      <w:r w:rsidR="00433701">
        <w:rPr>
          <w:rFonts w:cstheme="minorHAnsi"/>
          <w:sz w:val="24"/>
          <w:szCs w:val="24"/>
          <w:lang w:val="en-GB"/>
        </w:rPr>
        <w:t>,</w:t>
      </w:r>
      <w:r w:rsidR="00E57170">
        <w:rPr>
          <w:rFonts w:cstheme="minorHAnsi"/>
          <w:sz w:val="24"/>
          <w:szCs w:val="24"/>
          <w:lang w:val="en-GB"/>
        </w:rPr>
        <w:t xml:space="preserve"> 2019</w:t>
      </w:r>
      <w:r w:rsidRPr="00203B80">
        <w:rPr>
          <w:rFonts w:cstheme="minorHAnsi"/>
          <w:sz w:val="24"/>
          <w:szCs w:val="24"/>
          <w:lang w:val="en-GB"/>
        </w:rPr>
        <w:t>).</w:t>
      </w:r>
    </w:p>
    <w:p w14:paraId="13D788E3" w14:textId="296EB6D7" w:rsidR="002F2C53" w:rsidRPr="00755845" w:rsidRDefault="004372F5" w:rsidP="00755845">
      <w:pPr>
        <w:pStyle w:val="Nadpis1"/>
        <w:numPr>
          <w:ilvl w:val="0"/>
          <w:numId w:val="14"/>
        </w:numPr>
        <w:spacing w:line="360" w:lineRule="auto"/>
        <w:contextualSpacing/>
        <w:jc w:val="both"/>
        <w:rPr>
          <w:rFonts w:cstheme="majorHAnsi"/>
          <w:szCs w:val="24"/>
          <w:lang w:val="en-GB"/>
        </w:rPr>
      </w:pPr>
      <w:bookmarkStart w:id="26" w:name="_Toc169044664"/>
      <w:bookmarkStart w:id="27" w:name="_Toc169044665"/>
      <w:bookmarkEnd w:id="26"/>
      <w:bookmarkEnd w:id="27"/>
      <w:r w:rsidRPr="00F01203">
        <w:rPr>
          <w:rFonts w:cstheme="majorHAnsi"/>
          <w:szCs w:val="24"/>
          <w:lang w:val="en-GB"/>
        </w:rPr>
        <w:t xml:space="preserve"> </w:t>
      </w:r>
      <w:bookmarkStart w:id="28" w:name="_Toc174086659"/>
      <w:r w:rsidR="006935B9" w:rsidRPr="00F01203">
        <w:rPr>
          <w:rFonts w:cstheme="majorHAnsi"/>
          <w:szCs w:val="24"/>
          <w:lang w:val="en-GB"/>
        </w:rPr>
        <w:t>Predominant level of collective bargaining on wages</w:t>
      </w:r>
      <w:bookmarkEnd w:id="28"/>
    </w:p>
    <w:p w14:paraId="7555FCD6" w14:textId="79A37955" w:rsidR="003C0C61" w:rsidRPr="0011716C" w:rsidRDefault="002F2C53" w:rsidP="00755845">
      <w:pPr>
        <w:spacing w:line="360" w:lineRule="auto"/>
        <w:contextualSpacing/>
        <w:jc w:val="both"/>
        <w:rPr>
          <w:rFonts w:cstheme="minorHAnsi"/>
          <w:sz w:val="24"/>
          <w:szCs w:val="24"/>
          <w:lang w:val="en-GB"/>
        </w:rPr>
      </w:pPr>
      <w:r>
        <w:rPr>
          <w:rFonts w:cstheme="minorHAnsi"/>
          <w:sz w:val="24"/>
          <w:szCs w:val="24"/>
          <w:lang w:val="en-GB"/>
        </w:rPr>
        <w:tab/>
      </w:r>
      <w:r w:rsidR="003B04D3" w:rsidRPr="00203B80">
        <w:rPr>
          <w:rFonts w:cstheme="minorHAnsi"/>
          <w:sz w:val="24"/>
          <w:szCs w:val="24"/>
          <w:lang w:val="en-GB"/>
        </w:rPr>
        <w:t>Collective bargaining in Bulgaria takes place primarily</w:t>
      </w:r>
      <w:r w:rsidR="00CA02B7" w:rsidRPr="00203B80">
        <w:rPr>
          <w:rFonts w:cstheme="minorHAnsi"/>
          <w:sz w:val="24"/>
          <w:szCs w:val="24"/>
          <w:lang w:val="en-GB"/>
        </w:rPr>
        <w:t xml:space="preserve"> at the</w:t>
      </w:r>
      <w:r w:rsidR="003B04D3" w:rsidRPr="00203B80">
        <w:rPr>
          <w:rFonts w:cstheme="minorHAnsi"/>
          <w:sz w:val="24"/>
          <w:szCs w:val="24"/>
          <w:lang w:val="en-GB"/>
        </w:rPr>
        <w:t xml:space="preserve"> </w:t>
      </w:r>
      <w:r w:rsidR="00DD3A21" w:rsidRPr="00203B80">
        <w:rPr>
          <w:rFonts w:cstheme="minorHAnsi"/>
          <w:sz w:val="24"/>
          <w:szCs w:val="24"/>
          <w:lang w:val="en-GB"/>
        </w:rPr>
        <w:t>company</w:t>
      </w:r>
      <w:r w:rsidR="004372F5" w:rsidRPr="00203B80">
        <w:rPr>
          <w:rFonts w:cstheme="minorHAnsi"/>
          <w:sz w:val="24"/>
          <w:szCs w:val="24"/>
          <w:lang w:val="en-GB"/>
        </w:rPr>
        <w:t xml:space="preserve"> level (O</w:t>
      </w:r>
      <w:r w:rsidR="00F64CF2" w:rsidRPr="00203B80">
        <w:rPr>
          <w:rFonts w:cstheme="minorHAnsi"/>
          <w:sz w:val="24"/>
          <w:szCs w:val="24"/>
          <w:lang w:val="en-GB"/>
        </w:rPr>
        <w:t xml:space="preserve">rganization for </w:t>
      </w:r>
      <w:r w:rsidR="004372F5" w:rsidRPr="00203B80">
        <w:rPr>
          <w:rFonts w:cstheme="minorHAnsi"/>
          <w:sz w:val="24"/>
          <w:szCs w:val="24"/>
          <w:lang w:val="en-GB"/>
        </w:rPr>
        <w:t>E</w:t>
      </w:r>
      <w:r w:rsidR="00F64CF2" w:rsidRPr="00203B80">
        <w:rPr>
          <w:rFonts w:cstheme="minorHAnsi"/>
          <w:sz w:val="24"/>
          <w:szCs w:val="24"/>
          <w:lang w:val="en-GB"/>
        </w:rPr>
        <w:t xml:space="preserve">conomic </w:t>
      </w:r>
      <w:r w:rsidR="004372F5" w:rsidRPr="00203B80">
        <w:rPr>
          <w:rFonts w:cstheme="minorHAnsi"/>
          <w:sz w:val="24"/>
          <w:szCs w:val="24"/>
          <w:lang w:val="en-GB"/>
        </w:rPr>
        <w:t>C</w:t>
      </w:r>
      <w:r w:rsidR="00F64CF2" w:rsidRPr="00203B80">
        <w:rPr>
          <w:rFonts w:cstheme="minorHAnsi"/>
          <w:sz w:val="24"/>
          <w:szCs w:val="24"/>
          <w:lang w:val="en-GB"/>
        </w:rPr>
        <w:t xml:space="preserve">o-operation and </w:t>
      </w:r>
      <w:r w:rsidR="004372F5" w:rsidRPr="00203B80">
        <w:rPr>
          <w:rFonts w:cstheme="minorHAnsi"/>
          <w:sz w:val="24"/>
          <w:szCs w:val="24"/>
          <w:lang w:val="en-GB"/>
        </w:rPr>
        <w:t>D</w:t>
      </w:r>
      <w:r w:rsidR="00F64CF2" w:rsidRPr="00203B80">
        <w:rPr>
          <w:rFonts w:cstheme="minorHAnsi"/>
          <w:sz w:val="24"/>
          <w:szCs w:val="24"/>
          <w:lang w:val="en-GB"/>
        </w:rPr>
        <w:t>evelopment</w:t>
      </w:r>
      <w:r w:rsidR="00433701">
        <w:rPr>
          <w:rFonts w:cstheme="minorHAnsi"/>
          <w:sz w:val="24"/>
          <w:szCs w:val="24"/>
          <w:lang w:val="en-GB"/>
        </w:rPr>
        <w:t>,</w:t>
      </w:r>
      <w:r w:rsidR="004372F5" w:rsidRPr="00203B80">
        <w:rPr>
          <w:rFonts w:cstheme="minorHAnsi"/>
          <w:sz w:val="24"/>
          <w:szCs w:val="24"/>
          <w:lang w:val="en-GB"/>
        </w:rPr>
        <w:t xml:space="preserve"> 2021).</w:t>
      </w:r>
      <w:r w:rsidR="004372F5" w:rsidRPr="0011716C">
        <w:rPr>
          <w:rStyle w:val="Odkaznapoznmkupodiarou"/>
          <w:rFonts w:cstheme="minorHAnsi"/>
          <w:sz w:val="24"/>
          <w:szCs w:val="24"/>
          <w:lang w:val="en-GB"/>
        </w:rPr>
        <w:footnoteReference w:id="22"/>
      </w:r>
      <w:r w:rsidR="00DD3A21" w:rsidRPr="0011716C">
        <w:rPr>
          <w:rFonts w:cstheme="minorHAnsi"/>
          <w:sz w:val="24"/>
          <w:szCs w:val="24"/>
          <w:lang w:val="en-GB"/>
        </w:rPr>
        <w:t xml:space="preserve"> </w:t>
      </w:r>
      <w:r w:rsidR="004372F5" w:rsidRPr="00203B80">
        <w:rPr>
          <w:rFonts w:cstheme="minorHAnsi"/>
          <w:sz w:val="24"/>
          <w:szCs w:val="24"/>
          <w:lang w:val="en-GB"/>
        </w:rPr>
        <w:t>T</w:t>
      </w:r>
      <w:r w:rsidR="004C30DD" w:rsidRPr="00203B80">
        <w:rPr>
          <w:rFonts w:cstheme="minorHAnsi"/>
          <w:sz w:val="24"/>
          <w:szCs w:val="24"/>
          <w:lang w:val="en-GB"/>
        </w:rPr>
        <w:t>ripartite consultations within the National Tripartite Cooperation Council, the Economic and Social Council or other governing bodies</w:t>
      </w:r>
      <w:r w:rsidR="004372F5" w:rsidRPr="00203B80">
        <w:rPr>
          <w:rFonts w:cstheme="minorHAnsi"/>
          <w:sz w:val="24"/>
          <w:szCs w:val="24"/>
          <w:lang w:val="en-GB"/>
        </w:rPr>
        <w:t xml:space="preserve"> also take place to set the scene for actual wage bargaining</w:t>
      </w:r>
      <w:r w:rsidR="004C30DD" w:rsidRPr="00203B80">
        <w:rPr>
          <w:rFonts w:cstheme="minorHAnsi"/>
          <w:sz w:val="24"/>
          <w:szCs w:val="24"/>
          <w:lang w:val="en-GB"/>
        </w:rPr>
        <w:t xml:space="preserve">. Industrial tripartite consultations take place as part of </w:t>
      </w:r>
      <w:r w:rsidR="00185019" w:rsidRPr="00203B80">
        <w:rPr>
          <w:rFonts w:cstheme="minorHAnsi"/>
          <w:sz w:val="24"/>
          <w:szCs w:val="24"/>
          <w:lang w:val="en-GB"/>
        </w:rPr>
        <w:t xml:space="preserve">around 50 </w:t>
      </w:r>
      <w:r w:rsidR="004C30DD" w:rsidRPr="00203B80">
        <w:rPr>
          <w:rFonts w:cstheme="minorHAnsi"/>
          <w:sz w:val="24"/>
          <w:szCs w:val="24"/>
          <w:lang w:val="en-GB"/>
        </w:rPr>
        <w:t xml:space="preserve">industrial councils within respective ministries </w:t>
      </w:r>
      <w:r w:rsidR="00185019" w:rsidRPr="00203B80">
        <w:rPr>
          <w:rFonts w:cstheme="minorHAnsi"/>
          <w:sz w:val="24"/>
          <w:szCs w:val="24"/>
          <w:lang w:val="en-GB"/>
        </w:rPr>
        <w:t>(Kir</w:t>
      </w:r>
      <w:r w:rsidR="001F1C88" w:rsidRPr="00203B80">
        <w:rPr>
          <w:rFonts w:cstheme="minorHAnsi"/>
          <w:sz w:val="24"/>
          <w:szCs w:val="24"/>
          <w:lang w:val="en-GB"/>
        </w:rPr>
        <w:t>ov</w:t>
      </w:r>
      <w:r w:rsidR="00433701">
        <w:rPr>
          <w:rFonts w:cstheme="minorHAnsi"/>
          <w:sz w:val="24"/>
          <w:szCs w:val="24"/>
          <w:lang w:val="en-GB"/>
        </w:rPr>
        <w:t>,</w:t>
      </w:r>
      <w:r w:rsidR="001F1C88" w:rsidRPr="00203B80">
        <w:rPr>
          <w:rFonts w:cstheme="minorHAnsi"/>
          <w:sz w:val="24"/>
          <w:szCs w:val="24"/>
          <w:lang w:val="en-GB"/>
        </w:rPr>
        <w:t xml:space="preserve"> </w:t>
      </w:r>
      <w:r w:rsidR="0060504E" w:rsidRPr="00203B80">
        <w:rPr>
          <w:rFonts w:cstheme="minorHAnsi"/>
          <w:sz w:val="24"/>
          <w:szCs w:val="24"/>
          <w:lang w:val="en-GB"/>
        </w:rPr>
        <w:t>2019</w:t>
      </w:r>
      <w:r w:rsidR="001F1C88" w:rsidRPr="00203B80">
        <w:rPr>
          <w:rFonts w:cstheme="minorHAnsi"/>
          <w:sz w:val="24"/>
          <w:szCs w:val="24"/>
          <w:lang w:val="en-GB"/>
        </w:rPr>
        <w:t xml:space="preserve">). </w:t>
      </w:r>
      <w:r w:rsidR="008632D2" w:rsidRPr="00203B80">
        <w:rPr>
          <w:rFonts w:cstheme="minorHAnsi"/>
          <w:sz w:val="24"/>
          <w:szCs w:val="24"/>
          <w:lang w:val="en-GB"/>
        </w:rPr>
        <w:t xml:space="preserve">However, employer representatives are not legally obliged to participate in social dialogue and in collective </w:t>
      </w:r>
      <w:r w:rsidR="00803E17" w:rsidRPr="00203B80">
        <w:rPr>
          <w:rFonts w:cstheme="minorHAnsi"/>
          <w:sz w:val="24"/>
          <w:szCs w:val="24"/>
          <w:lang w:val="en-GB"/>
        </w:rPr>
        <w:t xml:space="preserve">bargaining </w:t>
      </w:r>
      <w:r w:rsidR="007E6DB7" w:rsidRPr="00203B80">
        <w:rPr>
          <w:rFonts w:cstheme="minorHAnsi"/>
          <w:sz w:val="24"/>
          <w:szCs w:val="24"/>
          <w:lang w:val="en-GB"/>
        </w:rPr>
        <w:t xml:space="preserve">and </w:t>
      </w:r>
      <w:r w:rsidR="00CA02B7" w:rsidRPr="00203B80">
        <w:rPr>
          <w:rFonts w:cstheme="minorHAnsi"/>
          <w:sz w:val="24"/>
          <w:szCs w:val="24"/>
          <w:lang w:val="en-GB"/>
        </w:rPr>
        <w:t>a</w:t>
      </w:r>
      <w:r w:rsidR="007E6DB7" w:rsidRPr="00203B80">
        <w:rPr>
          <w:rFonts w:cstheme="minorHAnsi"/>
          <w:sz w:val="24"/>
          <w:szCs w:val="24"/>
          <w:lang w:val="en-GB"/>
        </w:rPr>
        <w:t xml:space="preserve"> deadline for signing the collective agreement</w:t>
      </w:r>
      <w:r w:rsidR="00CA02B7" w:rsidRPr="00203B80">
        <w:rPr>
          <w:rFonts w:cstheme="minorHAnsi"/>
          <w:sz w:val="24"/>
          <w:szCs w:val="24"/>
          <w:lang w:val="en-GB"/>
        </w:rPr>
        <w:t xml:space="preserve"> does not exist. This</w:t>
      </w:r>
      <w:r w:rsidR="007E6DB7" w:rsidRPr="00203B80">
        <w:rPr>
          <w:rFonts w:cstheme="minorHAnsi"/>
          <w:sz w:val="24"/>
          <w:szCs w:val="24"/>
          <w:lang w:val="en-GB"/>
        </w:rPr>
        <w:t xml:space="preserve"> prolongs the negotiations and can be used to put pressure on trade unions to accept less favo</w:t>
      </w:r>
      <w:r w:rsidR="001C213C" w:rsidRPr="00203B80">
        <w:rPr>
          <w:rFonts w:cstheme="minorHAnsi"/>
          <w:sz w:val="24"/>
          <w:szCs w:val="24"/>
          <w:lang w:val="en-GB"/>
        </w:rPr>
        <w:t>u</w:t>
      </w:r>
      <w:r w:rsidR="007E6DB7" w:rsidRPr="00203B80">
        <w:rPr>
          <w:rFonts w:cstheme="minorHAnsi"/>
          <w:sz w:val="24"/>
          <w:szCs w:val="24"/>
          <w:lang w:val="en-GB"/>
        </w:rPr>
        <w:t xml:space="preserve">rable conditions </w:t>
      </w:r>
      <w:r w:rsidR="00803E17" w:rsidRPr="00203B80">
        <w:rPr>
          <w:rFonts w:cstheme="minorHAnsi"/>
          <w:sz w:val="24"/>
          <w:szCs w:val="24"/>
          <w:lang w:val="en-GB"/>
        </w:rPr>
        <w:t>(Interview BG02).</w:t>
      </w:r>
      <w:r w:rsidR="008632D2" w:rsidRPr="00203B80">
        <w:rPr>
          <w:rFonts w:cstheme="minorHAnsi"/>
          <w:sz w:val="24"/>
          <w:szCs w:val="24"/>
          <w:lang w:val="en-GB"/>
        </w:rPr>
        <w:t xml:space="preserve"> </w:t>
      </w:r>
      <w:r w:rsidR="001F1C88" w:rsidRPr="00203B80">
        <w:rPr>
          <w:rFonts w:cstheme="minorHAnsi"/>
          <w:sz w:val="24"/>
          <w:szCs w:val="24"/>
          <w:lang w:val="en-GB"/>
        </w:rPr>
        <w:t>Collective bargaining at</w:t>
      </w:r>
      <w:r w:rsidR="00185019" w:rsidRPr="00203B80">
        <w:rPr>
          <w:rFonts w:cstheme="minorHAnsi"/>
          <w:sz w:val="24"/>
          <w:szCs w:val="24"/>
          <w:lang w:val="en-GB"/>
        </w:rPr>
        <w:t xml:space="preserve"> the company l</w:t>
      </w:r>
      <w:r w:rsidR="00E77B05" w:rsidRPr="00203B80">
        <w:rPr>
          <w:rFonts w:cstheme="minorHAnsi"/>
          <w:sz w:val="24"/>
          <w:szCs w:val="24"/>
          <w:lang w:val="en-GB"/>
        </w:rPr>
        <w:t>evel</w:t>
      </w:r>
      <w:r w:rsidR="00643626" w:rsidRPr="00203B80">
        <w:rPr>
          <w:rFonts w:cstheme="minorHAnsi"/>
          <w:sz w:val="24"/>
          <w:szCs w:val="24"/>
          <w:lang w:val="en-GB"/>
        </w:rPr>
        <w:t xml:space="preserve"> usually include</w:t>
      </w:r>
      <w:r w:rsidR="001C213C" w:rsidRPr="00203B80">
        <w:rPr>
          <w:rFonts w:cstheme="minorHAnsi"/>
          <w:sz w:val="24"/>
          <w:szCs w:val="24"/>
          <w:lang w:val="en-GB"/>
        </w:rPr>
        <w:t>s</w:t>
      </w:r>
      <w:r w:rsidR="00643626" w:rsidRPr="00203B80">
        <w:rPr>
          <w:rFonts w:cstheme="minorHAnsi"/>
          <w:sz w:val="24"/>
          <w:szCs w:val="24"/>
          <w:lang w:val="en-GB"/>
        </w:rPr>
        <w:t xml:space="preserve"> clauses on wage levels, social security contributions,</w:t>
      </w:r>
      <w:r w:rsidR="00173823" w:rsidRPr="00203B80">
        <w:rPr>
          <w:rFonts w:cstheme="minorHAnsi"/>
          <w:sz w:val="24"/>
          <w:szCs w:val="24"/>
          <w:lang w:val="en-GB"/>
        </w:rPr>
        <w:t xml:space="preserve"> and</w:t>
      </w:r>
      <w:r w:rsidR="00643626" w:rsidRPr="00203B80">
        <w:rPr>
          <w:rFonts w:cstheme="minorHAnsi"/>
          <w:sz w:val="24"/>
          <w:szCs w:val="24"/>
          <w:lang w:val="en-GB"/>
        </w:rPr>
        <w:t xml:space="preserve"> labour relationships</w:t>
      </w:r>
      <w:r w:rsidR="001649CE">
        <w:rPr>
          <w:rFonts w:cstheme="minorHAnsi"/>
          <w:sz w:val="24"/>
          <w:szCs w:val="24"/>
          <w:lang w:val="en-GB"/>
        </w:rPr>
        <w:t xml:space="preserve"> (</w:t>
      </w:r>
      <w:proofErr w:type="spellStart"/>
      <w:r w:rsidR="001649CE">
        <w:rPr>
          <w:rFonts w:cstheme="minorHAnsi"/>
          <w:sz w:val="24"/>
          <w:szCs w:val="24"/>
          <w:lang w:val="en-GB"/>
        </w:rPr>
        <w:t>Eurofound</w:t>
      </w:r>
      <w:proofErr w:type="spellEnd"/>
      <w:r w:rsidR="00433701">
        <w:rPr>
          <w:rFonts w:cstheme="minorHAnsi"/>
          <w:sz w:val="24"/>
          <w:szCs w:val="24"/>
          <w:lang w:val="en-GB"/>
        </w:rPr>
        <w:t>,</w:t>
      </w:r>
      <w:r w:rsidR="006C02C4" w:rsidRPr="00203B80">
        <w:rPr>
          <w:rFonts w:cstheme="minorHAnsi"/>
          <w:sz w:val="24"/>
          <w:szCs w:val="24"/>
          <w:lang w:val="en-GB"/>
        </w:rPr>
        <w:t xml:space="preserve"> 2020</w:t>
      </w:r>
      <w:r w:rsidR="00173823" w:rsidRPr="00203B80">
        <w:rPr>
          <w:rFonts w:cstheme="minorHAnsi"/>
          <w:sz w:val="24"/>
          <w:szCs w:val="24"/>
          <w:lang w:val="en-GB"/>
        </w:rPr>
        <w:t>). Collective agreements signed at the company level cannot be extended to non-signatories, unlike C</w:t>
      </w:r>
      <w:r w:rsidR="00C934B5" w:rsidRPr="00203B80">
        <w:rPr>
          <w:rFonts w:cstheme="minorHAnsi"/>
          <w:sz w:val="24"/>
          <w:szCs w:val="24"/>
          <w:lang w:val="en-GB"/>
        </w:rPr>
        <w:t>B</w:t>
      </w:r>
      <w:r w:rsidR="00173823" w:rsidRPr="00203B80">
        <w:rPr>
          <w:rFonts w:cstheme="minorHAnsi"/>
          <w:sz w:val="24"/>
          <w:szCs w:val="24"/>
          <w:lang w:val="en-GB"/>
        </w:rPr>
        <w:t xml:space="preserve">As </w:t>
      </w:r>
      <w:r w:rsidR="00C934B5" w:rsidRPr="00203B80">
        <w:rPr>
          <w:rFonts w:cstheme="minorHAnsi"/>
          <w:sz w:val="24"/>
          <w:szCs w:val="24"/>
          <w:lang w:val="en-GB"/>
        </w:rPr>
        <w:t xml:space="preserve">concluded at </w:t>
      </w:r>
      <w:r w:rsidR="00173823" w:rsidRPr="00203B80">
        <w:rPr>
          <w:rFonts w:cstheme="minorHAnsi"/>
          <w:sz w:val="24"/>
          <w:szCs w:val="24"/>
          <w:lang w:val="en-GB"/>
        </w:rPr>
        <w:t xml:space="preserve">the sector level. </w:t>
      </w:r>
    </w:p>
    <w:p w14:paraId="0082C166" w14:textId="36BB2960" w:rsidR="00F31E0C" w:rsidRPr="00F01203" w:rsidRDefault="000773A6" w:rsidP="00755845">
      <w:pPr>
        <w:pStyle w:val="Nadpis1"/>
        <w:numPr>
          <w:ilvl w:val="0"/>
          <w:numId w:val="14"/>
        </w:numPr>
        <w:spacing w:line="360" w:lineRule="auto"/>
        <w:contextualSpacing/>
        <w:jc w:val="both"/>
      </w:pPr>
      <w:bookmarkStart w:id="29" w:name="_Toc169044668"/>
      <w:bookmarkStart w:id="30" w:name="_Toc169045039"/>
      <w:bookmarkStart w:id="31" w:name="_Toc169045286"/>
      <w:bookmarkStart w:id="32" w:name="_Toc169100533"/>
      <w:bookmarkStart w:id="33" w:name="_Toc169044670"/>
      <w:bookmarkStart w:id="34" w:name="_Toc169045041"/>
      <w:bookmarkStart w:id="35" w:name="_Toc169045288"/>
      <w:bookmarkStart w:id="36" w:name="_Toc169100535"/>
      <w:bookmarkStart w:id="37" w:name="_Toc174086660"/>
      <w:bookmarkEnd w:id="29"/>
      <w:bookmarkEnd w:id="30"/>
      <w:bookmarkEnd w:id="31"/>
      <w:bookmarkEnd w:id="32"/>
      <w:bookmarkEnd w:id="33"/>
      <w:bookmarkEnd w:id="34"/>
      <w:bookmarkEnd w:id="35"/>
      <w:bookmarkEnd w:id="36"/>
      <w:r w:rsidRPr="00F01203">
        <w:lastRenderedPageBreak/>
        <w:t>Sector profiles on wages and bargaining</w:t>
      </w:r>
      <w:bookmarkEnd w:id="37"/>
    </w:p>
    <w:p w14:paraId="215E52A5" w14:textId="79B50523" w:rsidR="006D0CB5" w:rsidRDefault="004372F5" w:rsidP="00755845">
      <w:pPr>
        <w:pStyle w:val="Nadpis2"/>
        <w:spacing w:line="360" w:lineRule="auto"/>
        <w:contextualSpacing/>
        <w:rPr>
          <w:sz w:val="28"/>
          <w:lang w:val="en-GB"/>
        </w:rPr>
      </w:pPr>
      <w:bookmarkStart w:id="38" w:name="_Toc174086661"/>
      <w:r w:rsidRPr="00F01203">
        <w:rPr>
          <w:sz w:val="28"/>
          <w:lang w:val="en-GB"/>
        </w:rPr>
        <w:t>4</w:t>
      </w:r>
      <w:r w:rsidR="000773A6" w:rsidRPr="00F01203">
        <w:rPr>
          <w:sz w:val="28"/>
          <w:lang w:val="en-GB"/>
        </w:rPr>
        <w:t>.1</w:t>
      </w:r>
      <w:r w:rsidR="00203B80" w:rsidRPr="00F01203">
        <w:rPr>
          <w:sz w:val="28"/>
          <w:lang w:val="en-GB"/>
        </w:rPr>
        <w:t xml:space="preserve"> Construction</w:t>
      </w:r>
      <w:bookmarkEnd w:id="38"/>
    </w:p>
    <w:p w14:paraId="39356B01" w14:textId="302D9E99" w:rsidR="002B2995" w:rsidRDefault="00606286" w:rsidP="002B2995">
      <w:pPr>
        <w:spacing w:line="360" w:lineRule="auto"/>
        <w:ind w:firstLine="709"/>
        <w:contextualSpacing/>
        <w:jc w:val="both"/>
        <w:rPr>
          <w:sz w:val="24"/>
          <w:szCs w:val="24"/>
          <w:lang w:val="en-GB"/>
        </w:rPr>
      </w:pPr>
      <w:r w:rsidRPr="002B2995">
        <w:rPr>
          <w:sz w:val="24"/>
          <w:szCs w:val="24"/>
          <w:lang w:val="en-GB"/>
        </w:rPr>
        <w:t>The construction industry in Bulgaria has slowed in recent years due to the COVID-19 pandemic and the war in Ukraine</w:t>
      </w:r>
      <w:r w:rsidR="001649CE">
        <w:rPr>
          <w:sz w:val="24"/>
          <w:szCs w:val="24"/>
          <w:lang w:val="en-GB"/>
        </w:rPr>
        <w:t>,</w:t>
      </w:r>
      <w:r w:rsidRPr="002B2995">
        <w:rPr>
          <w:sz w:val="24"/>
          <w:szCs w:val="24"/>
          <w:lang w:val="en-GB"/>
        </w:rPr>
        <w:t xml:space="preserve"> but has been growing again since 2022. </w:t>
      </w:r>
      <w:r w:rsidR="00DF6559" w:rsidRPr="002B2995">
        <w:rPr>
          <w:sz w:val="24"/>
          <w:szCs w:val="24"/>
          <w:lang w:val="en-GB"/>
        </w:rPr>
        <w:t>In 2022</w:t>
      </w:r>
      <w:r w:rsidR="001649CE">
        <w:rPr>
          <w:sz w:val="24"/>
          <w:szCs w:val="24"/>
          <w:lang w:val="en-GB"/>
        </w:rPr>
        <w:t>,</w:t>
      </w:r>
      <w:r w:rsidR="00DF6559" w:rsidRPr="002B2995">
        <w:rPr>
          <w:sz w:val="24"/>
          <w:szCs w:val="24"/>
          <w:lang w:val="en-GB"/>
        </w:rPr>
        <w:t xml:space="preserve"> the relative share of gross value added of the construction sector was 3.1% of the GDP, amounting to 2 636 million EUR (European Indust</w:t>
      </w:r>
      <w:r w:rsidR="001649CE">
        <w:rPr>
          <w:sz w:val="24"/>
          <w:szCs w:val="24"/>
          <w:lang w:val="en-GB"/>
        </w:rPr>
        <w:t>ry Construction Federation,</w:t>
      </w:r>
      <w:r w:rsidR="00212F0F" w:rsidRPr="002B2995">
        <w:rPr>
          <w:sz w:val="24"/>
          <w:szCs w:val="24"/>
          <w:lang w:val="en-GB"/>
        </w:rPr>
        <w:t xml:space="preserve"> 2021</w:t>
      </w:r>
      <w:r w:rsidR="00DF6559" w:rsidRPr="002B2995">
        <w:rPr>
          <w:sz w:val="24"/>
          <w:szCs w:val="24"/>
          <w:lang w:val="en-GB"/>
        </w:rPr>
        <w:t xml:space="preserve">). </w:t>
      </w:r>
      <w:r w:rsidR="00AF7962" w:rsidRPr="002B2995">
        <w:rPr>
          <w:sz w:val="24"/>
          <w:szCs w:val="24"/>
          <w:lang w:val="en-GB"/>
        </w:rPr>
        <w:t>The construction</w:t>
      </w:r>
      <w:r w:rsidRPr="002B2995">
        <w:rPr>
          <w:sz w:val="24"/>
          <w:szCs w:val="24"/>
          <w:lang w:val="en-GB"/>
        </w:rPr>
        <w:t xml:space="preserve"> sector in Bulgaria </w:t>
      </w:r>
      <w:r w:rsidR="00DF6559" w:rsidRPr="002B2995">
        <w:rPr>
          <w:sz w:val="24"/>
          <w:szCs w:val="24"/>
          <w:lang w:val="en-GB"/>
        </w:rPr>
        <w:t>represents</w:t>
      </w:r>
      <w:r w:rsidRPr="002B2995">
        <w:rPr>
          <w:sz w:val="24"/>
          <w:szCs w:val="24"/>
          <w:lang w:val="en-GB"/>
        </w:rPr>
        <w:t xml:space="preserve"> 5.7</w:t>
      </w:r>
      <w:r w:rsidR="00AF7962" w:rsidRPr="002B2995">
        <w:rPr>
          <w:sz w:val="24"/>
          <w:szCs w:val="24"/>
          <w:lang w:val="en-GB"/>
        </w:rPr>
        <w:t xml:space="preserve">% of total </w:t>
      </w:r>
      <w:r w:rsidRPr="002B2995">
        <w:rPr>
          <w:sz w:val="24"/>
          <w:szCs w:val="24"/>
          <w:lang w:val="en-GB"/>
        </w:rPr>
        <w:t>employment, a 1% increase compared to 2021</w:t>
      </w:r>
      <w:r w:rsidR="00AF7962" w:rsidRPr="002B2995">
        <w:rPr>
          <w:sz w:val="24"/>
          <w:szCs w:val="24"/>
          <w:lang w:val="en-GB"/>
        </w:rPr>
        <w:t xml:space="preserve">. </w:t>
      </w:r>
      <w:r w:rsidR="00441DA3" w:rsidRPr="002B2995">
        <w:rPr>
          <w:sz w:val="24"/>
          <w:szCs w:val="24"/>
          <w:lang w:val="en-GB"/>
        </w:rPr>
        <w:t xml:space="preserve">In 2024 the employment in the sector was </w:t>
      </w:r>
      <w:r w:rsidR="00433701">
        <w:rPr>
          <w:rFonts w:eastAsia="Times New Roman"/>
          <w:sz w:val="24"/>
          <w:szCs w:val="24"/>
          <w:lang w:val="en-GB" w:eastAsia="sk-SK"/>
        </w:rPr>
        <w:t xml:space="preserve">247 400, of whom 228 </w:t>
      </w:r>
      <w:r w:rsidR="00441DA3" w:rsidRPr="002B2995">
        <w:rPr>
          <w:rFonts w:eastAsia="Times New Roman"/>
          <w:sz w:val="24"/>
          <w:szCs w:val="24"/>
          <w:lang w:val="en-GB" w:eastAsia="sk-SK"/>
        </w:rPr>
        <w:t>000 were men</w:t>
      </w:r>
      <w:r w:rsidR="00DF6559" w:rsidRPr="002B2995">
        <w:rPr>
          <w:sz w:val="24"/>
          <w:szCs w:val="24"/>
          <w:lang w:val="en-GB"/>
        </w:rPr>
        <w:t xml:space="preserve">. </w:t>
      </w:r>
      <w:r w:rsidRPr="002B2995">
        <w:rPr>
          <w:sz w:val="24"/>
          <w:szCs w:val="24"/>
          <w:lang w:val="en-GB"/>
        </w:rPr>
        <w:t xml:space="preserve">The unemployment in the sector is 9.2% of the total unemployment. </w:t>
      </w:r>
      <w:r w:rsidR="00DF6559" w:rsidRPr="002B2995">
        <w:rPr>
          <w:sz w:val="24"/>
          <w:szCs w:val="24"/>
          <w:lang w:val="en-GB"/>
        </w:rPr>
        <w:t xml:space="preserve">Between 2010 and 2020, the share of full-time employment declined </w:t>
      </w:r>
      <w:r w:rsidR="00AB2A31" w:rsidRPr="002B2995">
        <w:rPr>
          <w:sz w:val="24"/>
          <w:szCs w:val="24"/>
          <w:lang w:val="en-GB"/>
        </w:rPr>
        <w:t>by 8.7% and the share of self-employed wor</w:t>
      </w:r>
      <w:r w:rsidR="00433701">
        <w:rPr>
          <w:sz w:val="24"/>
          <w:szCs w:val="24"/>
          <w:lang w:val="en-GB"/>
        </w:rPr>
        <w:t xml:space="preserve">kers increased by 16.1% from 25 </w:t>
      </w:r>
      <w:r w:rsidR="00AB2A31" w:rsidRPr="002B2995">
        <w:rPr>
          <w:sz w:val="24"/>
          <w:szCs w:val="24"/>
          <w:lang w:val="en-GB"/>
        </w:rPr>
        <w:t>500</w:t>
      </w:r>
      <w:r w:rsidR="00433701">
        <w:rPr>
          <w:sz w:val="24"/>
          <w:szCs w:val="24"/>
          <w:lang w:val="en-GB"/>
        </w:rPr>
        <w:t xml:space="preserve"> to 29 </w:t>
      </w:r>
      <w:r w:rsidR="001649CE">
        <w:rPr>
          <w:sz w:val="24"/>
          <w:szCs w:val="24"/>
          <w:lang w:val="en-GB"/>
        </w:rPr>
        <w:t>600 (European Commission,</w:t>
      </w:r>
      <w:r w:rsidR="00AB2A31" w:rsidRPr="002B2995">
        <w:rPr>
          <w:sz w:val="24"/>
          <w:szCs w:val="24"/>
          <w:lang w:val="en-GB"/>
        </w:rPr>
        <w:t xml:space="preserve"> 2021).</w:t>
      </w:r>
      <w:r w:rsidR="00AB2A31" w:rsidRPr="002B2995">
        <w:rPr>
          <w:rStyle w:val="Odkaznapoznmkupodiarou"/>
          <w:rFonts w:cstheme="minorHAnsi"/>
          <w:sz w:val="24"/>
          <w:szCs w:val="24"/>
          <w:lang w:val="en-GB"/>
        </w:rPr>
        <w:footnoteReference w:id="23"/>
      </w:r>
      <w:r w:rsidR="00AB2A31" w:rsidRPr="002B2995">
        <w:rPr>
          <w:sz w:val="24"/>
          <w:szCs w:val="24"/>
          <w:lang w:val="en-GB"/>
        </w:rPr>
        <w:t xml:space="preserve"> </w:t>
      </w:r>
      <w:r w:rsidR="00F10380" w:rsidRPr="002B2995">
        <w:rPr>
          <w:sz w:val="24"/>
          <w:szCs w:val="24"/>
          <w:lang w:val="en-GB"/>
        </w:rPr>
        <w:t>The average salary for construction worker is 2050 BGN</w:t>
      </w:r>
      <w:r w:rsidR="002A14E3" w:rsidRPr="002B2995">
        <w:rPr>
          <w:sz w:val="24"/>
          <w:szCs w:val="24"/>
          <w:lang w:val="en-GB"/>
        </w:rPr>
        <w:t xml:space="preserve"> (1048 EUR)</w:t>
      </w:r>
      <w:r w:rsidR="00F10380" w:rsidRPr="002B2995">
        <w:rPr>
          <w:sz w:val="24"/>
          <w:szCs w:val="24"/>
          <w:lang w:val="en-GB"/>
        </w:rPr>
        <w:t>, which is slightly above the national average wage.</w:t>
      </w:r>
      <w:r w:rsidR="00F10380" w:rsidRPr="002B2995">
        <w:rPr>
          <w:rStyle w:val="Odkaznapoznmkupodiarou"/>
          <w:rFonts w:cstheme="minorHAnsi"/>
          <w:sz w:val="24"/>
          <w:szCs w:val="24"/>
          <w:lang w:val="en-GB"/>
        </w:rPr>
        <w:footnoteReference w:id="24"/>
      </w:r>
    </w:p>
    <w:p w14:paraId="63BED18A" w14:textId="4D5A8932" w:rsidR="008C4736" w:rsidRPr="002B2995" w:rsidRDefault="00AF7962" w:rsidP="002B2995">
      <w:pPr>
        <w:spacing w:line="360" w:lineRule="auto"/>
        <w:ind w:firstLine="709"/>
        <w:contextualSpacing/>
        <w:jc w:val="both"/>
        <w:rPr>
          <w:sz w:val="24"/>
          <w:szCs w:val="24"/>
          <w:lang w:val="en-GB"/>
        </w:rPr>
      </w:pPr>
      <w:r w:rsidRPr="002B2995">
        <w:rPr>
          <w:sz w:val="24"/>
          <w:szCs w:val="24"/>
        </w:rPr>
        <w:t xml:space="preserve">The collective bargaining </w:t>
      </w:r>
      <w:r w:rsidR="00606286" w:rsidRPr="002B2995">
        <w:rPr>
          <w:sz w:val="24"/>
          <w:szCs w:val="24"/>
        </w:rPr>
        <w:t xml:space="preserve">coverage </w:t>
      </w:r>
      <w:r w:rsidRPr="002B2995">
        <w:rPr>
          <w:sz w:val="24"/>
          <w:szCs w:val="24"/>
        </w:rPr>
        <w:t xml:space="preserve">in the construction sector is </w:t>
      </w:r>
      <w:r w:rsidR="0058093A" w:rsidRPr="002B2995">
        <w:rPr>
          <w:sz w:val="24"/>
          <w:szCs w:val="24"/>
        </w:rPr>
        <w:t>estimated to be 2.3</w:t>
      </w:r>
      <w:r w:rsidRPr="002B2995">
        <w:rPr>
          <w:sz w:val="24"/>
          <w:szCs w:val="24"/>
        </w:rPr>
        <w:t>%</w:t>
      </w:r>
      <w:r w:rsidR="0058093A" w:rsidRPr="002B2995">
        <w:rPr>
          <w:sz w:val="24"/>
          <w:szCs w:val="24"/>
        </w:rPr>
        <w:t xml:space="preserve"> (Eurofound, 2015, 48</w:t>
      </w:r>
      <w:r w:rsidR="00606286" w:rsidRPr="002B2995">
        <w:rPr>
          <w:sz w:val="24"/>
          <w:szCs w:val="24"/>
        </w:rPr>
        <w:t>)</w:t>
      </w:r>
      <w:r w:rsidR="00F10380" w:rsidRPr="002B2995">
        <w:rPr>
          <w:sz w:val="24"/>
          <w:szCs w:val="24"/>
        </w:rPr>
        <w:t>.</w:t>
      </w:r>
      <w:r w:rsidR="00254EFB" w:rsidRPr="002B2995">
        <w:rPr>
          <w:sz w:val="24"/>
          <w:szCs w:val="24"/>
        </w:rPr>
        <w:t xml:space="preserve"> </w:t>
      </w:r>
      <w:r w:rsidR="00D4426C" w:rsidRPr="002B2995">
        <w:rPr>
          <w:sz w:val="24"/>
          <w:szCs w:val="24"/>
        </w:rPr>
        <w:t xml:space="preserve">There are two main employer organizations in the construction sector – Bulgarian Construction Chamber </w:t>
      </w:r>
      <w:r w:rsidR="001F1C88" w:rsidRPr="002B2995">
        <w:rPr>
          <w:sz w:val="24"/>
          <w:szCs w:val="24"/>
        </w:rPr>
        <w:t xml:space="preserve">(BCC) </w:t>
      </w:r>
      <w:r w:rsidR="00D4426C" w:rsidRPr="002B2995">
        <w:rPr>
          <w:sz w:val="24"/>
          <w:szCs w:val="24"/>
        </w:rPr>
        <w:t xml:space="preserve">and Bulgarian Industrial Association, and five labour organizations – the major Confederation of Independent Trade Unions of Bulgaria (CITUB) and Confederation of Labour Podkrepa, and specific ones Federation Construction, Industry and Water Supply – Podkrepa (FCIW-Podkrepa), Federation of Independent </w:t>
      </w:r>
      <w:r w:rsidR="00553400" w:rsidRPr="002B2995">
        <w:rPr>
          <w:sz w:val="24"/>
          <w:szCs w:val="24"/>
        </w:rPr>
        <w:t xml:space="preserve">Trade Unions </w:t>
      </w:r>
      <w:r w:rsidR="001F1C88" w:rsidRPr="002B2995">
        <w:rPr>
          <w:sz w:val="24"/>
          <w:szCs w:val="24"/>
        </w:rPr>
        <w:t>in Construction (FI</w:t>
      </w:r>
      <w:r w:rsidR="00553400" w:rsidRPr="002B2995">
        <w:rPr>
          <w:sz w:val="24"/>
          <w:szCs w:val="24"/>
        </w:rPr>
        <w:t>TU</w:t>
      </w:r>
      <w:r w:rsidR="001F1C88" w:rsidRPr="002B2995">
        <w:rPr>
          <w:sz w:val="24"/>
          <w:szCs w:val="24"/>
        </w:rPr>
        <w:t>C</w:t>
      </w:r>
      <w:r w:rsidR="00807433" w:rsidRPr="002B2995">
        <w:rPr>
          <w:sz w:val="24"/>
          <w:szCs w:val="24"/>
        </w:rPr>
        <w:t>)</w:t>
      </w:r>
      <w:r w:rsidR="00A15179" w:rsidRPr="002B2995">
        <w:rPr>
          <w:sz w:val="24"/>
          <w:szCs w:val="24"/>
        </w:rPr>
        <w:t>,</w:t>
      </w:r>
      <w:r w:rsidR="00D4426C" w:rsidRPr="002B2995">
        <w:rPr>
          <w:sz w:val="24"/>
          <w:szCs w:val="24"/>
        </w:rPr>
        <w:t xml:space="preserve"> Construction Workers Union. </w:t>
      </w:r>
      <w:r w:rsidR="00807433" w:rsidRPr="002B2995">
        <w:rPr>
          <w:sz w:val="24"/>
          <w:szCs w:val="24"/>
        </w:rPr>
        <w:t>The density in the Bulgarian Construction Chamber is 8.6% of companies in the s</w:t>
      </w:r>
      <w:r w:rsidR="001649CE">
        <w:rPr>
          <w:sz w:val="24"/>
          <w:szCs w:val="24"/>
        </w:rPr>
        <w:t>ector and 16.</w:t>
      </w:r>
      <w:r w:rsidR="00807433" w:rsidRPr="002B2995">
        <w:rPr>
          <w:sz w:val="24"/>
          <w:szCs w:val="24"/>
        </w:rPr>
        <w:t xml:space="preserve">2% of employees (Eurofound, 2015, 31). </w:t>
      </w:r>
      <w:r w:rsidR="0058093A" w:rsidRPr="002B2995">
        <w:rPr>
          <w:sz w:val="24"/>
          <w:szCs w:val="24"/>
        </w:rPr>
        <w:t xml:space="preserve">Bargaining by the </w:t>
      </w:r>
      <w:r w:rsidR="001F1C88" w:rsidRPr="002B2995">
        <w:rPr>
          <w:sz w:val="24"/>
          <w:szCs w:val="24"/>
        </w:rPr>
        <w:t>Bulgarian Construction Chamber</w:t>
      </w:r>
      <w:r w:rsidR="0058093A" w:rsidRPr="002B2995">
        <w:rPr>
          <w:sz w:val="24"/>
          <w:szCs w:val="24"/>
        </w:rPr>
        <w:t xml:space="preserve"> is multi-employer and covers 60 companies and 3000 employees. </w:t>
      </w:r>
      <w:r w:rsidR="00807433" w:rsidRPr="002B2995">
        <w:rPr>
          <w:sz w:val="24"/>
          <w:szCs w:val="24"/>
        </w:rPr>
        <w:t xml:space="preserve">Two trade unions engage in collective bargaining - FITUC and FCIW-Podkrepa with </w:t>
      </w:r>
      <w:r w:rsidR="00433701">
        <w:rPr>
          <w:sz w:val="24"/>
          <w:szCs w:val="24"/>
        </w:rPr>
        <w:t>3</w:t>
      </w:r>
      <w:r w:rsidR="00D639DA" w:rsidRPr="002B2995">
        <w:rPr>
          <w:sz w:val="24"/>
          <w:szCs w:val="24"/>
        </w:rPr>
        <w:t xml:space="preserve">300 employees covered within each trade union. The level of involvement is both single-employer and multi-employer </w:t>
      </w:r>
      <w:r w:rsidR="0058093A" w:rsidRPr="002B2995">
        <w:rPr>
          <w:sz w:val="24"/>
          <w:szCs w:val="24"/>
        </w:rPr>
        <w:t xml:space="preserve">bargaining (Eurofound, 2015). </w:t>
      </w:r>
      <w:r w:rsidR="00553400" w:rsidRPr="002B2995">
        <w:rPr>
          <w:sz w:val="24"/>
          <w:szCs w:val="24"/>
        </w:rPr>
        <w:t>Between 2011 and 2021, 12 collective labour agreements at company level were in force on average, covering 4810 employees. In 2020, there were 8 agreements in force, covering 4752 employees</w:t>
      </w:r>
      <w:r w:rsidR="00714DFB" w:rsidRPr="002B2995">
        <w:rPr>
          <w:sz w:val="24"/>
          <w:szCs w:val="24"/>
        </w:rPr>
        <w:t xml:space="preserve"> (Eurofound, 2024)</w:t>
      </w:r>
      <w:r w:rsidR="00553400" w:rsidRPr="002B2995">
        <w:rPr>
          <w:sz w:val="24"/>
          <w:szCs w:val="24"/>
        </w:rPr>
        <w:t xml:space="preserve">. </w:t>
      </w:r>
    </w:p>
    <w:p w14:paraId="36F6EFA8" w14:textId="77777777" w:rsidR="008C4736" w:rsidRPr="00132533" w:rsidRDefault="008C4736" w:rsidP="00755845">
      <w:pPr>
        <w:pStyle w:val="Nadpis2"/>
        <w:spacing w:line="360" w:lineRule="auto"/>
        <w:contextualSpacing/>
        <w:jc w:val="both"/>
        <w:rPr>
          <w:rFonts w:cstheme="majorHAnsi"/>
          <w:iCs/>
          <w:sz w:val="28"/>
          <w:szCs w:val="24"/>
          <w:lang w:val="en-GB"/>
        </w:rPr>
      </w:pPr>
      <w:bookmarkStart w:id="39" w:name="_Toc174086662"/>
      <w:r w:rsidRPr="00132533">
        <w:rPr>
          <w:rFonts w:cstheme="majorHAnsi"/>
          <w:sz w:val="28"/>
          <w:szCs w:val="24"/>
          <w:lang w:val="en-GB"/>
        </w:rPr>
        <w:lastRenderedPageBreak/>
        <w:t>4.2 Hospitality</w:t>
      </w:r>
      <w:bookmarkEnd w:id="39"/>
      <w:r w:rsidRPr="00132533">
        <w:rPr>
          <w:rFonts w:cstheme="majorHAnsi"/>
          <w:sz w:val="28"/>
          <w:szCs w:val="24"/>
          <w:lang w:val="en-GB"/>
        </w:rPr>
        <w:t xml:space="preserve"> </w:t>
      </w:r>
    </w:p>
    <w:p w14:paraId="25F5B69D" w14:textId="77777777" w:rsidR="00766773" w:rsidRDefault="008C4736" w:rsidP="00766773">
      <w:pPr>
        <w:spacing w:line="360" w:lineRule="auto"/>
        <w:ind w:firstLine="709"/>
        <w:contextualSpacing/>
        <w:jc w:val="both"/>
        <w:rPr>
          <w:rFonts w:cstheme="minorHAnsi"/>
          <w:sz w:val="24"/>
          <w:szCs w:val="24"/>
          <w:lang w:val="en-GB"/>
        </w:rPr>
      </w:pPr>
      <w:r>
        <w:rPr>
          <w:rFonts w:cstheme="minorHAnsi"/>
          <w:sz w:val="24"/>
          <w:szCs w:val="24"/>
          <w:lang w:val="en-GB"/>
        </w:rPr>
        <w:t>In</w:t>
      </w:r>
      <w:r w:rsidR="00433701">
        <w:rPr>
          <w:rFonts w:cstheme="minorHAnsi"/>
          <w:sz w:val="24"/>
          <w:szCs w:val="24"/>
          <w:lang w:val="en-GB"/>
        </w:rPr>
        <w:t xml:space="preserve"> 2015, 124 </w:t>
      </w:r>
      <w:r w:rsidRPr="00203B80">
        <w:rPr>
          <w:rFonts w:cstheme="minorHAnsi"/>
          <w:sz w:val="24"/>
          <w:szCs w:val="24"/>
          <w:lang w:val="en-GB"/>
        </w:rPr>
        <w:t xml:space="preserve">933 people were employed in the hospitality sector in Bulgaria, with 83.3% </w:t>
      </w:r>
      <w:r>
        <w:rPr>
          <w:rFonts w:cstheme="minorHAnsi"/>
          <w:sz w:val="24"/>
          <w:szCs w:val="24"/>
          <w:lang w:val="en-GB"/>
        </w:rPr>
        <w:t xml:space="preserve">working </w:t>
      </w:r>
      <w:r w:rsidRPr="00203B80">
        <w:rPr>
          <w:rFonts w:cstheme="minorHAnsi"/>
          <w:sz w:val="24"/>
          <w:szCs w:val="24"/>
          <w:lang w:val="en-GB"/>
        </w:rPr>
        <w:t>as employees (</w:t>
      </w:r>
      <w:proofErr w:type="spellStart"/>
      <w:r w:rsidRPr="00203B80">
        <w:rPr>
          <w:rFonts w:cstheme="minorHAnsi"/>
          <w:sz w:val="24"/>
          <w:szCs w:val="24"/>
          <w:lang w:val="en-GB"/>
        </w:rPr>
        <w:t>Eurof</w:t>
      </w:r>
      <w:r w:rsidR="00433701">
        <w:rPr>
          <w:rFonts w:cstheme="minorHAnsi"/>
          <w:sz w:val="24"/>
          <w:szCs w:val="24"/>
          <w:lang w:val="en-GB"/>
        </w:rPr>
        <w:t>ound</w:t>
      </w:r>
      <w:proofErr w:type="spellEnd"/>
      <w:r w:rsidR="00433701">
        <w:rPr>
          <w:rFonts w:cstheme="minorHAnsi"/>
          <w:sz w:val="24"/>
          <w:szCs w:val="24"/>
          <w:lang w:val="en-GB"/>
        </w:rPr>
        <w:t>, 2018). National statistical</w:t>
      </w:r>
      <w:r w:rsidRPr="00203B80">
        <w:rPr>
          <w:rFonts w:cstheme="minorHAnsi"/>
          <w:sz w:val="24"/>
          <w:szCs w:val="24"/>
          <w:lang w:val="en-GB"/>
        </w:rPr>
        <w:t xml:space="preserve"> data for 2021 indicate that 124 000 people work in the hospitality sector, with the majority working in micro and small enterprises, 14.4% in medium sized enterprises and 7.7% in large companies (</w:t>
      </w:r>
      <w:proofErr w:type="spellStart"/>
      <w:r w:rsidRPr="00203B80">
        <w:rPr>
          <w:rFonts w:cstheme="minorHAnsi"/>
          <w:sz w:val="24"/>
          <w:szCs w:val="24"/>
          <w:lang w:val="en-GB"/>
        </w:rPr>
        <w:t>Eurofound</w:t>
      </w:r>
      <w:proofErr w:type="spellEnd"/>
      <w:r w:rsidRPr="00203B80">
        <w:rPr>
          <w:rFonts w:cstheme="minorHAnsi"/>
          <w:sz w:val="24"/>
          <w:szCs w:val="24"/>
          <w:lang w:val="en-GB"/>
        </w:rPr>
        <w:t>, 2024).</w:t>
      </w:r>
      <w:r w:rsidR="00766773">
        <w:rPr>
          <w:rFonts w:cstheme="minorHAnsi"/>
          <w:sz w:val="24"/>
          <w:szCs w:val="24"/>
          <w:lang w:val="en-GB"/>
        </w:rPr>
        <w:t xml:space="preserve"> </w:t>
      </w:r>
    </w:p>
    <w:p w14:paraId="3BD246FD" w14:textId="5E6B6360" w:rsidR="008C4736" w:rsidRDefault="008C4736" w:rsidP="00766773">
      <w:pPr>
        <w:pStyle w:val="Zarkazkladnhotextu"/>
        <w:tabs>
          <w:tab w:val="clear" w:pos="5070"/>
        </w:tabs>
      </w:pPr>
      <w:r w:rsidRPr="0011716C">
        <w:t>There are three main trade unions in Bulgaria Independent Trade Union Federation of Employees in Com</w:t>
      </w:r>
      <w:r w:rsidRPr="00203B80">
        <w:t xml:space="preserve">merce, Cooperatives, Tourism and Services (ITUFECCTS), National Federation of Commerce, Services, Customs and Tourism </w:t>
      </w:r>
      <w:proofErr w:type="spellStart"/>
      <w:r w:rsidRPr="00203B80">
        <w:t>Podkrepa</w:t>
      </w:r>
      <w:proofErr w:type="spellEnd"/>
      <w:r w:rsidRPr="00203B80">
        <w:t xml:space="preserve"> CL (NFCSCT </w:t>
      </w:r>
      <w:proofErr w:type="spellStart"/>
      <w:r w:rsidRPr="00203B80">
        <w:t>Podkrepa</w:t>
      </w:r>
      <w:proofErr w:type="spellEnd"/>
      <w:r w:rsidRPr="00203B80">
        <w:t xml:space="preserve"> CL), and Syndicate of Tourism in Bulgaria (STB). The most relevant employer organization in this sector is the Bulgarian Tourist Chamber (BTC). All of these participate in tripartite bodies as parts of the National Tourist Council and Inter-governmental council (</w:t>
      </w:r>
      <w:proofErr w:type="spellStart"/>
      <w:r w:rsidRPr="00203B80">
        <w:t>Eurofound</w:t>
      </w:r>
      <w:proofErr w:type="spellEnd"/>
      <w:r w:rsidRPr="00203B80">
        <w:t xml:space="preserve">, 2018) but there is a higher degree of sectionalism in coverage of different sectors and none of the trade unions represent catering and only the ITUFECCTS includes also restaurants, whereas NFCSCT </w:t>
      </w:r>
      <w:proofErr w:type="spellStart"/>
      <w:r w:rsidRPr="00203B80">
        <w:t>Podkrepa</w:t>
      </w:r>
      <w:proofErr w:type="spellEnd"/>
      <w:r w:rsidRPr="00203B80">
        <w:t xml:space="preserve"> CL and BTC represent only the hotel industry.</w:t>
      </w:r>
    </w:p>
    <w:p w14:paraId="610EAC75" w14:textId="382AB68E" w:rsidR="008C4736" w:rsidRDefault="008C4736" w:rsidP="00755845">
      <w:pPr>
        <w:spacing w:line="360" w:lineRule="auto"/>
        <w:contextualSpacing/>
        <w:jc w:val="both"/>
        <w:rPr>
          <w:rFonts w:cstheme="minorHAnsi"/>
          <w:sz w:val="24"/>
          <w:szCs w:val="24"/>
          <w:lang w:val="en-GB"/>
        </w:rPr>
      </w:pPr>
      <w:r>
        <w:rPr>
          <w:rFonts w:cstheme="minorHAnsi"/>
          <w:sz w:val="24"/>
          <w:szCs w:val="24"/>
          <w:lang w:val="en-GB"/>
        </w:rPr>
        <w:tab/>
      </w:r>
      <w:r w:rsidRPr="00203B80">
        <w:rPr>
          <w:rFonts w:cstheme="minorHAnsi"/>
          <w:sz w:val="24"/>
          <w:szCs w:val="24"/>
          <w:lang w:val="en-GB"/>
        </w:rPr>
        <w:t>Both sector and company level bargaining are common (</w:t>
      </w:r>
      <w:proofErr w:type="spellStart"/>
      <w:r w:rsidRPr="00203B80">
        <w:rPr>
          <w:rFonts w:cstheme="minorHAnsi"/>
          <w:sz w:val="24"/>
          <w:szCs w:val="24"/>
          <w:lang w:val="en-GB"/>
        </w:rPr>
        <w:t>Eurofound</w:t>
      </w:r>
      <w:proofErr w:type="spellEnd"/>
      <w:r w:rsidRPr="00203B80">
        <w:rPr>
          <w:rFonts w:cstheme="minorHAnsi"/>
          <w:sz w:val="24"/>
          <w:szCs w:val="24"/>
          <w:lang w:val="en-GB"/>
        </w:rPr>
        <w:t>, 2024). In December 2022, there were 10 active collective labour agreements covering 2240 workers (</w:t>
      </w:r>
      <w:proofErr w:type="spellStart"/>
      <w:r w:rsidRPr="00203B80">
        <w:rPr>
          <w:rFonts w:cstheme="minorHAnsi"/>
          <w:sz w:val="24"/>
          <w:szCs w:val="24"/>
          <w:lang w:val="en-GB"/>
        </w:rPr>
        <w:t>Eurofound</w:t>
      </w:r>
      <w:proofErr w:type="spellEnd"/>
      <w:r w:rsidRPr="00203B80">
        <w:rPr>
          <w:rFonts w:cstheme="minorHAnsi"/>
          <w:sz w:val="24"/>
          <w:szCs w:val="24"/>
          <w:lang w:val="en-GB"/>
        </w:rPr>
        <w:t xml:space="preserve">, 2024). The average monthly salary in the hospitality industry was 1339 BGN, which makes 685 EUR. (Interview BG05). </w:t>
      </w:r>
    </w:p>
    <w:p w14:paraId="0118F284" w14:textId="77777777" w:rsidR="008C4736" w:rsidRPr="00132533" w:rsidRDefault="008C4736" w:rsidP="00755845">
      <w:pPr>
        <w:pStyle w:val="Nadpis2"/>
        <w:spacing w:line="360" w:lineRule="auto"/>
        <w:contextualSpacing/>
        <w:jc w:val="both"/>
        <w:rPr>
          <w:rFonts w:cstheme="majorHAnsi"/>
          <w:sz w:val="28"/>
          <w:szCs w:val="24"/>
          <w:lang w:val="en-GB"/>
        </w:rPr>
      </w:pPr>
      <w:bookmarkStart w:id="40" w:name="_Toc174086663"/>
      <w:r w:rsidRPr="00132533">
        <w:rPr>
          <w:rFonts w:cstheme="majorHAnsi"/>
          <w:sz w:val="28"/>
          <w:szCs w:val="24"/>
          <w:lang w:val="en-GB"/>
        </w:rPr>
        <w:t>4.3 Urban transport</w:t>
      </w:r>
      <w:bookmarkEnd w:id="40"/>
      <w:r w:rsidRPr="00132533">
        <w:rPr>
          <w:rFonts w:cstheme="majorHAnsi"/>
          <w:sz w:val="28"/>
          <w:szCs w:val="24"/>
          <w:lang w:val="en-GB"/>
        </w:rPr>
        <w:t xml:space="preserve"> </w:t>
      </w:r>
    </w:p>
    <w:p w14:paraId="1A278445" w14:textId="4444F84C" w:rsidR="008C4736" w:rsidRPr="0011716C" w:rsidRDefault="008C4736" w:rsidP="00755845">
      <w:pPr>
        <w:tabs>
          <w:tab w:val="left" w:pos="5070"/>
        </w:tabs>
        <w:spacing w:line="360" w:lineRule="auto"/>
        <w:ind w:firstLine="709"/>
        <w:contextualSpacing/>
        <w:jc w:val="both"/>
        <w:rPr>
          <w:rFonts w:cstheme="minorHAnsi"/>
          <w:sz w:val="24"/>
          <w:szCs w:val="24"/>
          <w:lang w:val="en-GB"/>
        </w:rPr>
      </w:pPr>
      <w:r w:rsidRPr="00203B80">
        <w:rPr>
          <w:rFonts w:cstheme="minorHAnsi"/>
          <w:sz w:val="24"/>
          <w:szCs w:val="24"/>
          <w:lang w:val="en-GB"/>
        </w:rPr>
        <w:t xml:space="preserve">There are three main trade unions in the sector of urban transport in Bulgaria – Syndicate of Railwaymen in Bulgaria, Federation of Transport Trade Unions in Bulgaria (FTTUB), Federation of Transport Workers </w:t>
      </w:r>
      <w:proofErr w:type="spellStart"/>
      <w:r w:rsidRPr="00203B80">
        <w:rPr>
          <w:rFonts w:cstheme="minorHAnsi"/>
          <w:sz w:val="24"/>
          <w:szCs w:val="24"/>
          <w:lang w:val="en-GB"/>
        </w:rPr>
        <w:t>Podkrepa</w:t>
      </w:r>
      <w:proofErr w:type="spellEnd"/>
      <w:r w:rsidRPr="00203B80">
        <w:rPr>
          <w:rFonts w:cstheme="minorHAnsi"/>
          <w:sz w:val="24"/>
          <w:szCs w:val="24"/>
          <w:lang w:val="en-GB"/>
        </w:rPr>
        <w:t xml:space="preserve"> (FTW </w:t>
      </w:r>
      <w:proofErr w:type="spellStart"/>
      <w:r w:rsidRPr="00203B80">
        <w:rPr>
          <w:rFonts w:cstheme="minorHAnsi"/>
          <w:sz w:val="24"/>
          <w:szCs w:val="24"/>
          <w:lang w:val="en-GB"/>
        </w:rPr>
        <w:t>Podkrepa</w:t>
      </w:r>
      <w:proofErr w:type="spellEnd"/>
      <w:r w:rsidRPr="00203B80">
        <w:rPr>
          <w:rFonts w:cstheme="minorHAnsi"/>
          <w:sz w:val="24"/>
          <w:szCs w:val="24"/>
          <w:lang w:val="en-GB"/>
        </w:rPr>
        <w:t xml:space="preserve">) all of whom engage in single-employer bargaining, which is more dominant, and FTTUB and FTW </w:t>
      </w:r>
      <w:proofErr w:type="spellStart"/>
      <w:r w:rsidRPr="00203B80">
        <w:rPr>
          <w:rFonts w:cstheme="minorHAnsi"/>
          <w:sz w:val="24"/>
          <w:szCs w:val="24"/>
          <w:lang w:val="en-GB"/>
        </w:rPr>
        <w:t>Podkrepa</w:t>
      </w:r>
      <w:proofErr w:type="spellEnd"/>
      <w:r w:rsidRPr="00203B80">
        <w:rPr>
          <w:rFonts w:cstheme="minorHAnsi"/>
          <w:sz w:val="24"/>
          <w:szCs w:val="24"/>
          <w:lang w:val="en-GB"/>
        </w:rPr>
        <w:t xml:space="preserve"> also in multi-employer level bargaining. The active membership of the trade unions includes the urban transport and railways su</w:t>
      </w:r>
      <w:r w:rsidR="00433701">
        <w:rPr>
          <w:rFonts w:cstheme="minorHAnsi"/>
          <w:sz w:val="24"/>
          <w:szCs w:val="24"/>
          <w:lang w:val="en-GB"/>
        </w:rPr>
        <w:t>bsectors, where the FTTUB has 6</w:t>
      </w:r>
      <w:r w:rsidRPr="00203B80">
        <w:rPr>
          <w:rFonts w:cstheme="minorHAnsi"/>
          <w:sz w:val="24"/>
          <w:szCs w:val="24"/>
          <w:lang w:val="en-GB"/>
        </w:rPr>
        <w:t xml:space="preserve">695 members, FTW </w:t>
      </w:r>
      <w:proofErr w:type="spellStart"/>
      <w:r w:rsidRPr="00203B80">
        <w:rPr>
          <w:rFonts w:cstheme="minorHAnsi"/>
          <w:sz w:val="24"/>
          <w:szCs w:val="24"/>
          <w:lang w:val="en-GB"/>
        </w:rPr>
        <w:t>Podkrepa</w:t>
      </w:r>
      <w:proofErr w:type="spellEnd"/>
      <w:r w:rsidRPr="00203B80">
        <w:rPr>
          <w:rFonts w:cstheme="minorHAnsi"/>
          <w:sz w:val="24"/>
          <w:szCs w:val="24"/>
          <w:lang w:val="en-GB"/>
        </w:rPr>
        <w:t xml:space="preserve"> 4000, and the Syndicate of Railwaymen 14 000 members. There are four major employers in the transportation sector that engage in collective bargaining, but only one in the subsector of public transport –</w:t>
      </w:r>
      <w:r w:rsidRPr="00132533">
        <w:rPr>
          <w:rFonts w:cstheme="minorHAnsi"/>
          <w:sz w:val="24"/>
          <w:szCs w:val="24"/>
          <w:lang w:val="en-GB"/>
        </w:rPr>
        <w:t xml:space="preserve"> </w:t>
      </w:r>
      <w:proofErr w:type="spellStart"/>
      <w:r w:rsidRPr="0011716C">
        <w:rPr>
          <w:rFonts w:cstheme="minorHAnsi"/>
          <w:sz w:val="24"/>
          <w:szCs w:val="24"/>
          <w:lang w:val="en-GB"/>
        </w:rPr>
        <w:t>Stolichen</w:t>
      </w:r>
      <w:proofErr w:type="spellEnd"/>
      <w:r w:rsidRPr="0011716C">
        <w:rPr>
          <w:rFonts w:cstheme="minorHAnsi"/>
          <w:sz w:val="24"/>
          <w:szCs w:val="24"/>
          <w:lang w:val="en-GB"/>
        </w:rPr>
        <w:t xml:space="preserve"> </w:t>
      </w:r>
      <w:proofErr w:type="spellStart"/>
      <w:r w:rsidRPr="0011716C">
        <w:rPr>
          <w:rFonts w:cstheme="minorHAnsi"/>
          <w:sz w:val="24"/>
          <w:szCs w:val="24"/>
          <w:lang w:val="en-GB"/>
        </w:rPr>
        <w:t>Electrotransport</w:t>
      </w:r>
      <w:proofErr w:type="spellEnd"/>
      <w:r w:rsidRPr="00203B80">
        <w:rPr>
          <w:rFonts w:cstheme="minorHAnsi"/>
          <w:sz w:val="24"/>
          <w:szCs w:val="24"/>
          <w:lang w:val="en-GB"/>
        </w:rPr>
        <w:t xml:space="preserve"> EAD, which employs over 2000 workers (</w:t>
      </w:r>
      <w:proofErr w:type="spellStart"/>
      <w:r w:rsidRPr="00203B80">
        <w:rPr>
          <w:rFonts w:cstheme="minorHAnsi"/>
          <w:sz w:val="24"/>
          <w:szCs w:val="24"/>
          <w:lang w:val="en-GB"/>
        </w:rPr>
        <w:t>Eurofound</w:t>
      </w:r>
      <w:proofErr w:type="spellEnd"/>
      <w:r w:rsidRPr="00203B80">
        <w:rPr>
          <w:rFonts w:cstheme="minorHAnsi"/>
          <w:sz w:val="24"/>
          <w:szCs w:val="24"/>
          <w:lang w:val="en-GB"/>
        </w:rPr>
        <w:t xml:space="preserve">, 2017). </w:t>
      </w:r>
    </w:p>
    <w:p w14:paraId="1C62491D" w14:textId="70F4656D" w:rsidR="008C4736" w:rsidRDefault="008C4736" w:rsidP="00755845">
      <w:pPr>
        <w:tabs>
          <w:tab w:val="left" w:pos="5070"/>
        </w:tabs>
        <w:spacing w:line="360" w:lineRule="auto"/>
        <w:ind w:firstLine="709"/>
        <w:contextualSpacing/>
        <w:jc w:val="both"/>
        <w:rPr>
          <w:rFonts w:cstheme="minorHAnsi"/>
          <w:sz w:val="24"/>
          <w:szCs w:val="24"/>
          <w:lang w:val="en-GB"/>
        </w:rPr>
      </w:pPr>
      <w:r w:rsidRPr="00203B80">
        <w:rPr>
          <w:rFonts w:cstheme="minorHAnsi"/>
          <w:sz w:val="24"/>
          <w:szCs w:val="24"/>
          <w:lang w:val="en-GB"/>
        </w:rPr>
        <w:lastRenderedPageBreak/>
        <w:t>Currently there are 15 collective labour agreement in force covering 16 372 employees in the entire land transport and transport via pipelines sector.</w:t>
      </w:r>
      <w:r w:rsidRPr="0011716C">
        <w:rPr>
          <w:rStyle w:val="Odkaznapoznmkupodiarou"/>
          <w:rFonts w:cstheme="minorHAnsi"/>
          <w:sz w:val="24"/>
          <w:szCs w:val="24"/>
          <w:lang w:val="en-GB"/>
        </w:rPr>
        <w:footnoteReference w:id="25"/>
      </w:r>
      <w:r w:rsidRPr="0011716C">
        <w:rPr>
          <w:rFonts w:cstheme="minorHAnsi"/>
          <w:sz w:val="24"/>
          <w:szCs w:val="24"/>
          <w:lang w:val="en-GB"/>
        </w:rPr>
        <w:t xml:space="preserve"> </w:t>
      </w:r>
      <w:r w:rsidRPr="00203B80">
        <w:rPr>
          <w:rFonts w:cstheme="minorHAnsi"/>
          <w:sz w:val="24"/>
          <w:szCs w:val="24"/>
          <w:lang w:val="en-GB"/>
        </w:rPr>
        <w:t>There are two key sector-specific bodies for bargaining the bipartite Central Council for Cooperation on the level of municipalities, with all trade unions participating and the tripartite Council for Social Cooperation for Urban Transport in the Sofia municipality, where the FTTUB is represented. The estimated collective bargaining coverage for the entire transportation sector (including railway transport, freight rail transport and urban transp</w:t>
      </w:r>
      <w:r w:rsidR="00755845">
        <w:rPr>
          <w:rFonts w:cstheme="minorHAnsi"/>
          <w:sz w:val="24"/>
          <w:szCs w:val="24"/>
          <w:lang w:val="en-GB"/>
        </w:rPr>
        <w:t>ort) is 85% (</w:t>
      </w:r>
      <w:proofErr w:type="spellStart"/>
      <w:r w:rsidR="00755845">
        <w:rPr>
          <w:rFonts w:cstheme="minorHAnsi"/>
          <w:sz w:val="24"/>
          <w:szCs w:val="24"/>
          <w:lang w:val="en-GB"/>
        </w:rPr>
        <w:t>Eurofound</w:t>
      </w:r>
      <w:proofErr w:type="spellEnd"/>
      <w:r w:rsidR="00755845">
        <w:rPr>
          <w:rFonts w:cstheme="minorHAnsi"/>
          <w:sz w:val="24"/>
          <w:szCs w:val="24"/>
          <w:lang w:val="en-GB"/>
        </w:rPr>
        <w:t xml:space="preserve">, 2017). </w:t>
      </w:r>
    </w:p>
    <w:p w14:paraId="4733E27E" w14:textId="2D207DD3" w:rsidR="008C4736" w:rsidRPr="00BC52FC" w:rsidRDefault="008C4736" w:rsidP="00755845">
      <w:pPr>
        <w:pStyle w:val="Nadpis2"/>
        <w:spacing w:line="360" w:lineRule="auto"/>
        <w:contextualSpacing/>
        <w:jc w:val="both"/>
        <w:rPr>
          <w:rFonts w:cstheme="majorHAnsi"/>
          <w:sz w:val="28"/>
          <w:szCs w:val="24"/>
          <w:lang w:val="en-GB"/>
        </w:rPr>
      </w:pPr>
      <w:bookmarkStart w:id="41" w:name="_Toc174086664"/>
      <w:r w:rsidRPr="00132533">
        <w:rPr>
          <w:rFonts w:cstheme="majorHAnsi"/>
          <w:sz w:val="28"/>
          <w:szCs w:val="24"/>
          <w:lang w:val="en-GB"/>
        </w:rPr>
        <w:t>4.4. Waste management</w:t>
      </w:r>
      <w:bookmarkEnd w:id="41"/>
    </w:p>
    <w:p w14:paraId="2C84E4D3" w14:textId="0D3DC290" w:rsidR="008C4736" w:rsidRDefault="008C4736" w:rsidP="00755845">
      <w:pPr>
        <w:spacing w:line="360" w:lineRule="auto"/>
        <w:ind w:firstLine="708"/>
        <w:contextualSpacing/>
        <w:jc w:val="both"/>
        <w:rPr>
          <w:rFonts w:cstheme="minorHAnsi"/>
          <w:sz w:val="24"/>
          <w:szCs w:val="24"/>
          <w:lang w:val="en-GB"/>
        </w:rPr>
      </w:pPr>
      <w:r w:rsidRPr="00203B80">
        <w:rPr>
          <w:rFonts w:cstheme="minorHAnsi"/>
          <w:sz w:val="24"/>
          <w:szCs w:val="24"/>
          <w:lang w:val="en-GB"/>
        </w:rPr>
        <w:t>According to the available data the number of workers employed in the waste management sector, including the water supply, remediation activities and sewerage, was in the year 2021 around 30 500, a decline from the year 2012, when the number of workers in the sector was around 33 800</w:t>
      </w:r>
      <w:r w:rsidRPr="0011716C">
        <w:rPr>
          <w:rFonts w:cstheme="minorHAnsi"/>
          <w:sz w:val="24"/>
          <w:szCs w:val="24"/>
          <w:lang w:val="en-GB"/>
        </w:rPr>
        <w:t>.</w:t>
      </w:r>
      <w:r w:rsidR="00433701" w:rsidRPr="0011716C">
        <w:rPr>
          <w:rStyle w:val="Odkaznapoznmkupodiarou"/>
          <w:rFonts w:cstheme="minorHAnsi"/>
          <w:sz w:val="24"/>
          <w:szCs w:val="24"/>
          <w:lang w:val="en-GB"/>
        </w:rPr>
        <w:footnoteReference w:id="26"/>
      </w:r>
      <w:r w:rsidRPr="0011716C">
        <w:rPr>
          <w:rFonts w:cstheme="minorHAnsi"/>
          <w:sz w:val="24"/>
          <w:szCs w:val="24"/>
          <w:lang w:val="en-GB"/>
        </w:rPr>
        <w:t xml:space="preserve"> </w:t>
      </w:r>
      <w:r w:rsidRPr="00203B80">
        <w:rPr>
          <w:rFonts w:cstheme="minorHAnsi"/>
          <w:sz w:val="24"/>
          <w:szCs w:val="24"/>
          <w:lang w:val="en-GB"/>
        </w:rPr>
        <w:t>The average wage in the water supply, sewerage, waste management and remediation activities sector in the first quarter of 2024 was 1625 BGN (831 EUR), which is below average wage</w:t>
      </w:r>
      <w:r w:rsidRPr="0011716C">
        <w:rPr>
          <w:rFonts w:cstheme="minorHAnsi"/>
          <w:sz w:val="24"/>
          <w:szCs w:val="24"/>
          <w:lang w:val="en-GB"/>
        </w:rPr>
        <w:t>.</w:t>
      </w:r>
      <w:r w:rsidR="00433701" w:rsidRPr="0011716C">
        <w:rPr>
          <w:rStyle w:val="Odkaznapoznmkupodiarou"/>
          <w:rFonts w:cstheme="minorHAnsi"/>
          <w:sz w:val="24"/>
          <w:szCs w:val="24"/>
          <w:lang w:val="en-GB"/>
        </w:rPr>
        <w:footnoteReference w:id="27"/>
      </w:r>
    </w:p>
    <w:p w14:paraId="014B3F75" w14:textId="60B9E696" w:rsidR="008C4736" w:rsidRPr="0011716C" w:rsidRDefault="008C4736" w:rsidP="00755845">
      <w:pPr>
        <w:spacing w:line="360" w:lineRule="auto"/>
        <w:ind w:firstLine="708"/>
        <w:contextualSpacing/>
        <w:jc w:val="both"/>
        <w:rPr>
          <w:rFonts w:cstheme="minorHAnsi"/>
          <w:sz w:val="24"/>
          <w:szCs w:val="24"/>
          <w:lang w:val="en-GB"/>
        </w:rPr>
      </w:pPr>
      <w:r w:rsidRPr="00203B80">
        <w:rPr>
          <w:rFonts w:cstheme="minorHAnsi"/>
          <w:sz w:val="24"/>
          <w:szCs w:val="24"/>
          <w:lang w:val="en-GB"/>
        </w:rPr>
        <w:t xml:space="preserve">Waste management sector in Bulgaria </w:t>
      </w:r>
      <w:r w:rsidR="00433701">
        <w:rPr>
          <w:rFonts w:cstheme="minorHAnsi"/>
          <w:sz w:val="24"/>
          <w:szCs w:val="24"/>
          <w:lang w:val="en-GB"/>
        </w:rPr>
        <w:t>has been</w:t>
      </w:r>
      <w:r w:rsidRPr="00203B80">
        <w:rPr>
          <w:rFonts w:cstheme="minorHAnsi"/>
          <w:sz w:val="24"/>
          <w:szCs w:val="24"/>
          <w:lang w:val="en-GB"/>
        </w:rPr>
        <w:t xml:space="preserve"> dominated by private companies since 2007, and the jobs in this sector are considered low-paid. In the waste management sector, the low-skilled jobs, which require no formal education</w:t>
      </w:r>
      <w:r w:rsidR="00433701">
        <w:rPr>
          <w:rFonts w:cstheme="minorHAnsi"/>
          <w:sz w:val="24"/>
          <w:szCs w:val="24"/>
          <w:lang w:val="en-GB"/>
        </w:rPr>
        <w:t>,</w:t>
      </w:r>
      <w:r w:rsidRPr="00203B80">
        <w:rPr>
          <w:rFonts w:cstheme="minorHAnsi"/>
          <w:sz w:val="24"/>
          <w:szCs w:val="24"/>
          <w:lang w:val="en-GB"/>
        </w:rPr>
        <w:t xml:space="preserve"> include especially street sweeping, which is a job largely </w:t>
      </w:r>
      <w:r w:rsidR="00755845" w:rsidRPr="00203B80">
        <w:rPr>
          <w:rFonts w:cstheme="minorHAnsi"/>
          <w:sz w:val="24"/>
          <w:szCs w:val="24"/>
          <w:lang w:val="en-GB"/>
        </w:rPr>
        <w:t xml:space="preserve">done </w:t>
      </w:r>
      <w:r w:rsidRPr="00203B80">
        <w:rPr>
          <w:rFonts w:cstheme="minorHAnsi"/>
          <w:sz w:val="24"/>
          <w:szCs w:val="24"/>
          <w:lang w:val="en-GB"/>
        </w:rPr>
        <w:t xml:space="preserve">by women with fixed lower </w:t>
      </w:r>
      <w:proofErr w:type="gramStart"/>
      <w:r w:rsidRPr="00203B80">
        <w:rPr>
          <w:rFonts w:cstheme="minorHAnsi"/>
          <w:sz w:val="24"/>
          <w:szCs w:val="24"/>
          <w:lang w:val="en-GB"/>
        </w:rPr>
        <w:t>wages.</w:t>
      </w:r>
      <w:proofErr w:type="gramEnd"/>
      <w:r w:rsidRPr="00203B80">
        <w:rPr>
          <w:rFonts w:cstheme="minorHAnsi"/>
          <w:sz w:val="24"/>
          <w:szCs w:val="24"/>
          <w:lang w:val="en-GB"/>
        </w:rPr>
        <w:t xml:space="preserve"> The </w:t>
      </w:r>
      <w:r w:rsidR="00433701">
        <w:rPr>
          <w:rFonts w:cstheme="minorHAnsi"/>
          <w:sz w:val="24"/>
          <w:szCs w:val="24"/>
          <w:lang w:val="en-GB"/>
        </w:rPr>
        <w:t>task</w:t>
      </w:r>
      <w:r w:rsidRPr="00203B80">
        <w:rPr>
          <w:rFonts w:cstheme="minorHAnsi"/>
          <w:sz w:val="24"/>
          <w:szCs w:val="24"/>
          <w:lang w:val="en-GB"/>
        </w:rPr>
        <w:t xml:space="preserve"> of waste collection is carried out by men, with fixed higher wages, compared to street sweeping.  From available data from a study the average monthly wages for street sweepers were between 180 – 194 EUR</w:t>
      </w:r>
      <w:r w:rsidRPr="0011716C">
        <w:rPr>
          <w:rFonts w:cstheme="minorHAnsi"/>
          <w:sz w:val="24"/>
          <w:szCs w:val="24"/>
          <w:lang w:val="en-GB"/>
        </w:rPr>
        <w:t>, whereas for waste collectors slightly higher, around 204 – 296 EUR</w:t>
      </w:r>
      <w:r w:rsidRPr="00203B80">
        <w:rPr>
          <w:rFonts w:cstheme="minorHAnsi"/>
          <w:sz w:val="24"/>
          <w:szCs w:val="24"/>
          <w:lang w:val="en-GB"/>
        </w:rPr>
        <w:t xml:space="preserve"> (</w:t>
      </w:r>
      <w:proofErr w:type="spellStart"/>
      <w:r w:rsidRPr="00203B80">
        <w:rPr>
          <w:rFonts w:cstheme="minorHAnsi"/>
          <w:sz w:val="24"/>
          <w:szCs w:val="24"/>
          <w:lang w:val="en-GB"/>
        </w:rPr>
        <w:t>Sardadvar</w:t>
      </w:r>
      <w:proofErr w:type="spellEnd"/>
      <w:r w:rsidRPr="00203B80">
        <w:rPr>
          <w:rFonts w:cstheme="minorHAnsi"/>
          <w:sz w:val="24"/>
          <w:szCs w:val="24"/>
          <w:lang w:val="en-GB"/>
        </w:rPr>
        <w:t xml:space="preserve"> et al., 2015), demonstrating a level of gender segregation reflected also in wages. </w:t>
      </w:r>
    </w:p>
    <w:p w14:paraId="75170217" w14:textId="02F6685A" w:rsidR="008C4736" w:rsidRPr="00203B80" w:rsidRDefault="00433701" w:rsidP="00755845">
      <w:pPr>
        <w:spacing w:line="360" w:lineRule="auto"/>
        <w:ind w:firstLine="708"/>
        <w:contextualSpacing/>
        <w:jc w:val="both"/>
        <w:rPr>
          <w:rFonts w:cstheme="minorHAnsi"/>
          <w:sz w:val="24"/>
          <w:szCs w:val="24"/>
          <w:lang w:val="en-GB"/>
        </w:rPr>
      </w:pPr>
      <w:r>
        <w:rPr>
          <w:rFonts w:cstheme="minorHAnsi"/>
          <w:sz w:val="24"/>
          <w:szCs w:val="24"/>
          <w:lang w:val="en-GB"/>
        </w:rPr>
        <w:t>In the waste management sector</w:t>
      </w:r>
      <w:r w:rsidR="008C4736" w:rsidRPr="00203B80">
        <w:rPr>
          <w:rFonts w:cstheme="minorHAnsi"/>
          <w:sz w:val="24"/>
          <w:szCs w:val="24"/>
          <w:lang w:val="en-GB"/>
        </w:rPr>
        <w:t xml:space="preserve"> trade union organization is rather weak, also due to the privatization of the sector but the available information on collective bargaining is </w:t>
      </w:r>
      <w:r w:rsidR="00755845">
        <w:rPr>
          <w:rFonts w:cstheme="minorHAnsi"/>
          <w:sz w:val="24"/>
          <w:szCs w:val="24"/>
          <w:lang w:val="en-GB"/>
        </w:rPr>
        <w:t xml:space="preserve">discussed in the next section. </w:t>
      </w:r>
    </w:p>
    <w:p w14:paraId="03B16D90" w14:textId="5E8791C3" w:rsidR="00F31E0C" w:rsidRPr="00755845" w:rsidRDefault="00486458" w:rsidP="00755845">
      <w:pPr>
        <w:pStyle w:val="Nadpis1"/>
        <w:spacing w:line="360" w:lineRule="auto"/>
        <w:contextualSpacing/>
        <w:jc w:val="both"/>
        <w:rPr>
          <w:szCs w:val="24"/>
          <w:lang w:val="en-GB"/>
        </w:rPr>
      </w:pPr>
      <w:bookmarkStart w:id="42" w:name="_Toc174086665"/>
      <w:r w:rsidRPr="0011716C">
        <w:rPr>
          <w:szCs w:val="24"/>
          <w:lang w:val="en-GB"/>
        </w:rPr>
        <w:lastRenderedPageBreak/>
        <w:t xml:space="preserve">5. </w:t>
      </w:r>
      <w:r w:rsidR="000C3443" w:rsidRPr="0011716C">
        <w:rPr>
          <w:szCs w:val="24"/>
          <w:lang w:val="en-GB"/>
        </w:rPr>
        <w:t>Relevance of bargaining arenas to realising adequate wages</w:t>
      </w:r>
      <w:bookmarkEnd w:id="42"/>
      <w:r w:rsidR="000C3443" w:rsidRPr="0011716C">
        <w:rPr>
          <w:szCs w:val="24"/>
          <w:lang w:val="en-GB"/>
        </w:rPr>
        <w:t xml:space="preserve"> </w:t>
      </w:r>
    </w:p>
    <w:p w14:paraId="3433862D" w14:textId="32DA81C7" w:rsidR="006D0CB5" w:rsidRPr="00F01203" w:rsidRDefault="0049274F" w:rsidP="00755845">
      <w:pPr>
        <w:pStyle w:val="Nadpis2"/>
        <w:spacing w:line="360" w:lineRule="auto"/>
        <w:contextualSpacing/>
        <w:jc w:val="both"/>
        <w:rPr>
          <w:sz w:val="28"/>
          <w:lang w:val="en-GB"/>
        </w:rPr>
      </w:pPr>
      <w:bookmarkStart w:id="43" w:name="_Toc174086666"/>
      <w:r w:rsidRPr="00035240">
        <w:rPr>
          <w:lang w:val="en-GB"/>
        </w:rPr>
        <w:t xml:space="preserve">5.1 </w:t>
      </w:r>
      <w:r w:rsidRPr="00F01203">
        <w:rPr>
          <w:sz w:val="28"/>
          <w:lang w:val="en-GB"/>
        </w:rPr>
        <w:t>Construction</w:t>
      </w:r>
      <w:bookmarkEnd w:id="43"/>
    </w:p>
    <w:p w14:paraId="42EA05BD" w14:textId="799F465A" w:rsidR="002B2995" w:rsidRDefault="0049274F" w:rsidP="002B2995">
      <w:pPr>
        <w:pStyle w:val="Zarkazkladnhotextu"/>
      </w:pPr>
      <w:r w:rsidRPr="0011716C">
        <w:t>According to a</w:t>
      </w:r>
      <w:r w:rsidR="0008052E" w:rsidRPr="0011716C">
        <w:t>n</w:t>
      </w:r>
      <w:r w:rsidRPr="00203B80">
        <w:t xml:space="preserve"> industrial relations expert, in the construction sector the minimum wage represents the baseline set by law and accounts for around 50% - 60% of wages earned by low-skilled workers (Interview BG01). Legislation also sets the allowance required to be paid for night and shift work, which is set as</w:t>
      </w:r>
      <w:r w:rsidR="002C554B">
        <w:t xml:space="preserve"> a percentage of</w:t>
      </w:r>
      <w:r w:rsidR="002B2995">
        <w:t xml:space="preserve"> base salary. </w:t>
      </w:r>
    </w:p>
    <w:p w14:paraId="13B0AB51" w14:textId="77777777" w:rsidR="002B2995" w:rsidRDefault="00BC5D15" w:rsidP="002B2995">
      <w:pPr>
        <w:pStyle w:val="Zarkazkladnhotextu"/>
        <w:rPr>
          <w:rFonts w:eastAsia="Times New Roman"/>
          <w:lang w:eastAsia="sk-SK"/>
        </w:rPr>
      </w:pPr>
      <w:r>
        <w:t>As revealed in a research interview</w:t>
      </w:r>
      <w:r w:rsidR="0049274F" w:rsidRPr="00203B80">
        <w:t xml:space="preserve">, there was one collective agreement on the sectoral level valid until 2022, which included </w:t>
      </w:r>
      <w:r w:rsidR="0049274F" w:rsidRPr="00203B80">
        <w:rPr>
          <w:rFonts w:eastAsia="Times New Roman"/>
          <w:lang w:eastAsia="sk-SK"/>
        </w:rPr>
        <w:t xml:space="preserve">the increase of the basic paid annual leave to no less than 23 working days, the increase of the value of free meals and/or supplements to it, the increase of the percentage of seniority to 1%, the increase of each night hour worked by the amount of not less than 50% of the minimum hourly wage for the sector, as well as the determination of the minimum monthly basic wage for the sector on the basis of the minimum wage for the country, increased by a factor K=1.25 (Interview BG05). </w:t>
      </w:r>
    </w:p>
    <w:p w14:paraId="2F41F5F6" w14:textId="31A48349" w:rsidR="002B2995" w:rsidRDefault="0049274F" w:rsidP="002B2995">
      <w:pPr>
        <w:pStyle w:val="Zarkazkladnhotextu"/>
      </w:pPr>
      <w:r w:rsidRPr="00203B80">
        <w:rPr>
          <w:rFonts w:eastAsia="Times New Roman"/>
          <w:lang w:eastAsia="sk-SK"/>
        </w:rPr>
        <w:t xml:space="preserve">Based on the information provided by the FITUC representative, the new minimum wage multiplier in the new sectoral collective labour agreement sets the coefficient at K=1.4, increasing the sectoral minimum wage. </w:t>
      </w:r>
      <w:r w:rsidR="00F0001C" w:rsidRPr="0011716C">
        <w:rPr>
          <w:rFonts w:eastAsia="Times New Roman"/>
          <w:lang w:eastAsia="sk-SK"/>
        </w:rPr>
        <w:t>T</w:t>
      </w:r>
      <w:r w:rsidR="00B232E5" w:rsidRPr="0011716C">
        <w:rPr>
          <w:rFonts w:eastAsia="Times New Roman"/>
          <w:lang w:eastAsia="sk-SK"/>
        </w:rPr>
        <w:t xml:space="preserve">he use of </w:t>
      </w:r>
      <w:r w:rsidR="00B232E5" w:rsidRPr="00203B80">
        <w:rPr>
          <w:rFonts w:eastAsia="Times New Roman"/>
          <w:lang w:eastAsia="sk-SK"/>
        </w:rPr>
        <w:t>multiplier coefficients to determine the sectoral minimum wages automatically reflects the yearly increases of statutory minimum wage and ensures that increases of sectoral minimum wage reflect it, the increase in statutory minimum</w:t>
      </w:r>
      <w:r w:rsidR="002C554B">
        <w:rPr>
          <w:rFonts w:eastAsia="Times New Roman"/>
          <w:lang w:eastAsia="sk-SK"/>
        </w:rPr>
        <w:t xml:space="preserve"> wage thus</w:t>
      </w:r>
      <w:r w:rsidR="00B232E5" w:rsidRPr="00203B80">
        <w:rPr>
          <w:rFonts w:eastAsia="Times New Roman"/>
          <w:lang w:eastAsia="sk-SK"/>
        </w:rPr>
        <w:t xml:space="preserve"> causes a cascade of sectoral wage increases if the use of multiplier is employed. </w:t>
      </w:r>
      <w:r w:rsidRPr="00203B80">
        <w:t>The sectoral agreement increases the minimum wage for the construction sector, which according to the latest contract, sets the minimum wage for the sector based on the coefficient at 1306.20 BGN or 667.84 EUR. Collective bargaining in the construction sector also sets the daily meal allowance at BGN 5 (2.56 EUR). There is also a minimum wage set for skilled workers, which shall reach at least 2481.78 BGN (1269.17 EUR) (Interview BG03).</w:t>
      </w:r>
      <w:r w:rsidR="002B2995">
        <w:t xml:space="preserve"> </w:t>
      </w:r>
    </w:p>
    <w:p w14:paraId="7CADA476" w14:textId="77777777" w:rsidR="002B2995" w:rsidRDefault="0049274F" w:rsidP="002B2995">
      <w:pPr>
        <w:pStyle w:val="Zarkazkladnhotextu"/>
      </w:pPr>
      <w:r w:rsidRPr="00203B80">
        <w:t xml:space="preserve">In the construction sector there are 7 active CBAs at the company level as of June 2024, which cover 2071 employees (Interview BG05). These may set higher multiplier coefficients or minimum wage than the sectoral one. Collective bargaining at company level may provide for higher wages and bonuses than sectoral contracts. Individual bargaining allows for customized agreements covering higher wages, bonuses or other incentives. </w:t>
      </w:r>
    </w:p>
    <w:p w14:paraId="46BD7BC2" w14:textId="411A7C8F" w:rsidR="002B2995" w:rsidRDefault="0049274F" w:rsidP="002B2995">
      <w:pPr>
        <w:pStyle w:val="Zarkazkladnhotextu"/>
      </w:pPr>
      <w:r w:rsidRPr="00203B80">
        <w:t>A</w:t>
      </w:r>
      <w:r w:rsidR="00552E1E" w:rsidRPr="00203B80">
        <w:t>t</w:t>
      </w:r>
      <w:r w:rsidRPr="00203B80">
        <w:t xml:space="preserve"> the same time</w:t>
      </w:r>
      <w:r w:rsidR="00552E1E" w:rsidRPr="00203B80">
        <w:t>,</w:t>
      </w:r>
      <w:r w:rsidR="002C554B">
        <w:t xml:space="preserve"> it is crucial to note </w:t>
      </w:r>
      <w:r w:rsidRPr="00203B80">
        <w:t xml:space="preserve">that the construction sector is characterized by a significant degree of informality, despite legislative and policy changes aiming to limit its </w:t>
      </w:r>
      <w:r w:rsidRPr="00203B80">
        <w:lastRenderedPageBreak/>
        <w:t>scope. Use of daily rates for informal workers is common and these are much higher than the corresponding proportions of minimum wage in the sector. This also results in dominance of envelope wages, where parts of wage</w:t>
      </w:r>
      <w:r w:rsidR="002C554B">
        <w:t>s</w:t>
      </w:r>
      <w:r w:rsidRPr="00203B80">
        <w:t xml:space="preserve"> are paid in cash and only some part</w:t>
      </w:r>
      <w:r w:rsidR="00B94F6C" w:rsidRPr="00203B80">
        <w:t>s</w:t>
      </w:r>
      <w:r w:rsidRPr="00203B80">
        <w:t xml:space="preserve"> of wages are paid following the official contract and accompanied by social security payments </w:t>
      </w:r>
      <w:r w:rsidRPr="0011716C">
        <w:t>(BG01). Large proportion of work in the construction sector is informal and the most common informal low-p</w:t>
      </w:r>
      <w:r w:rsidRPr="00203B80">
        <w:t>aid jobs include construction helper, rough construction worker, construction erecto</w:t>
      </w:r>
      <w:r w:rsidR="002C554B">
        <w:t>r, or tile worker (Interview BG</w:t>
      </w:r>
      <w:r w:rsidRPr="00203B80">
        <w:t>03).</w:t>
      </w:r>
    </w:p>
    <w:p w14:paraId="3666FD77" w14:textId="6E41AA4C" w:rsidR="000A63AC" w:rsidRPr="00203B80" w:rsidRDefault="0049274F" w:rsidP="002B2995">
      <w:pPr>
        <w:pStyle w:val="Zarkazkladnhotextu"/>
      </w:pPr>
      <w:r w:rsidRPr="00203B80">
        <w:t xml:space="preserve">In general, the construction sector has relatively low trade union density and most companies do not engage in collective bargaining. </w:t>
      </w:r>
    </w:p>
    <w:p w14:paraId="455C795B" w14:textId="0A75C710" w:rsidR="00AA5E9E" w:rsidRPr="00F01203" w:rsidRDefault="00AA5E9E" w:rsidP="00755845">
      <w:pPr>
        <w:pStyle w:val="Nadpis2"/>
        <w:spacing w:line="360" w:lineRule="auto"/>
        <w:contextualSpacing/>
        <w:jc w:val="both"/>
        <w:rPr>
          <w:rFonts w:cstheme="majorHAnsi"/>
          <w:sz w:val="28"/>
          <w:szCs w:val="24"/>
          <w:lang w:val="en-GB"/>
        </w:rPr>
      </w:pPr>
      <w:bookmarkStart w:id="44" w:name="_Toc174086667"/>
      <w:r w:rsidRPr="00F01203">
        <w:rPr>
          <w:rFonts w:cstheme="majorHAnsi"/>
          <w:sz w:val="28"/>
          <w:szCs w:val="24"/>
          <w:lang w:val="en-GB"/>
        </w:rPr>
        <w:t>5.2 Hospitality</w:t>
      </w:r>
      <w:bookmarkEnd w:id="44"/>
      <w:r w:rsidRPr="00F01203">
        <w:rPr>
          <w:rFonts w:cstheme="majorHAnsi"/>
          <w:sz w:val="28"/>
          <w:szCs w:val="24"/>
          <w:lang w:val="en-GB"/>
        </w:rPr>
        <w:t xml:space="preserve"> </w:t>
      </w:r>
    </w:p>
    <w:p w14:paraId="2233F47B" w14:textId="302950A4" w:rsidR="002B2995" w:rsidRDefault="00AA5E9E" w:rsidP="002B2995">
      <w:pPr>
        <w:pStyle w:val="Zarkazkladnhotextu"/>
      </w:pPr>
      <w:r w:rsidRPr="00203B80">
        <w:t>The HORECA sector in Bulgaria features the lowest wages, averaging 1339 BGN, (685 EUR) per month. There are 8 company level collective labour agreements in force, covering 2019 employees, thus covering only 1% of the workforce in the sector, which is made up of 152 000 workers</w:t>
      </w:r>
      <w:r w:rsidR="002C554B">
        <w:t xml:space="preserve"> altogether</w:t>
      </w:r>
      <w:r w:rsidRPr="00203B80">
        <w:t>. In the sector, around 96 000 of employees are women, which reflects that women receive lower wages.</w:t>
      </w:r>
      <w:r w:rsidR="002B2995">
        <w:t xml:space="preserve"> </w:t>
      </w:r>
    </w:p>
    <w:p w14:paraId="0D86A492" w14:textId="4AA4A71D" w:rsidR="002B2995" w:rsidRDefault="00AA5E9E" w:rsidP="002B2995">
      <w:pPr>
        <w:pStyle w:val="Zarkazkladnhotextu"/>
      </w:pPr>
      <w:r w:rsidRPr="00203B80">
        <w:t xml:space="preserve">Based on the information provided by the senior economic advisor from the </w:t>
      </w:r>
      <w:proofErr w:type="spellStart"/>
      <w:r w:rsidRPr="00203B80">
        <w:t>Podkrepa</w:t>
      </w:r>
      <w:proofErr w:type="spellEnd"/>
      <w:r w:rsidRPr="00203B80">
        <w:t xml:space="preserve"> trade union, there is one sec</w:t>
      </w:r>
      <w:r w:rsidR="002C554B">
        <w:t>toral level collective agreement</w:t>
      </w:r>
      <w:r w:rsidRPr="00203B80">
        <w:t>, but it covers only employees of three enterprises and was made with one employer representative and currently there is no legal mechanism, which would allow the extension of this agreement to the whole sector. This sectoral CBA does not set minimum wage, but instead stipulates that each company sets its own, which is usually the national minimum wage of 933 BGN</w:t>
      </w:r>
      <w:r w:rsidR="001A5BFF" w:rsidRPr="00203B80">
        <w:t xml:space="preserve">, equal to 477 EUR </w:t>
      </w:r>
      <w:r w:rsidRPr="0011716C">
        <w:t>(Interview BG05). The sectoral CBA stipulates the working conditions and security, the minimum base for holidays, extra pay for night work, an</w:t>
      </w:r>
      <w:r w:rsidRPr="00203B80">
        <w:t>d it sets the rate of wage increase after 5 years of employment for the company.</w:t>
      </w:r>
    </w:p>
    <w:p w14:paraId="155F13E1" w14:textId="70EE4487" w:rsidR="0053307E" w:rsidRPr="00203B80" w:rsidRDefault="00AA5E9E" w:rsidP="002C554B">
      <w:pPr>
        <w:pStyle w:val="Zarkazkladnhotextu"/>
      </w:pPr>
      <w:r w:rsidRPr="00203B80">
        <w:t xml:space="preserve">In the HORECA sector there is very low rate of trade union membership as the sector is typical for short-term and seasonal employment and high numbers of foreigners employed, </w:t>
      </w:r>
      <w:r w:rsidR="002C554B" w:rsidRPr="00203B80">
        <w:t xml:space="preserve">currently </w:t>
      </w:r>
      <w:r w:rsidRPr="00203B80">
        <w:t xml:space="preserve">around 6800. The sector also registers very high levels of labour shortages (Interview BG05). Individual level bargaining plays a major role for wage setting in the HORECA sector and can result in individual wages much higher than the minimum wage, especially in international establishments. </w:t>
      </w:r>
    </w:p>
    <w:p w14:paraId="0B123639" w14:textId="01567528" w:rsidR="00AA5E9E" w:rsidRPr="00BC52FC" w:rsidRDefault="00AA5E9E" w:rsidP="00755845">
      <w:pPr>
        <w:pStyle w:val="Nadpis2"/>
        <w:spacing w:line="360" w:lineRule="auto"/>
        <w:contextualSpacing/>
        <w:jc w:val="both"/>
        <w:rPr>
          <w:rFonts w:cstheme="majorHAnsi"/>
          <w:sz w:val="28"/>
          <w:szCs w:val="24"/>
          <w:lang w:val="en-GB"/>
        </w:rPr>
      </w:pPr>
      <w:bookmarkStart w:id="45" w:name="_Toc174086668"/>
      <w:r w:rsidRPr="00F01203">
        <w:rPr>
          <w:rFonts w:cstheme="majorHAnsi"/>
          <w:sz w:val="28"/>
          <w:szCs w:val="24"/>
          <w:lang w:val="en-GB"/>
        </w:rPr>
        <w:lastRenderedPageBreak/>
        <w:t>5.3 Urban transport</w:t>
      </w:r>
      <w:bookmarkEnd w:id="45"/>
      <w:r w:rsidRPr="00F01203">
        <w:rPr>
          <w:rFonts w:cstheme="majorHAnsi"/>
          <w:sz w:val="28"/>
          <w:szCs w:val="24"/>
          <w:lang w:val="en-GB"/>
        </w:rPr>
        <w:t xml:space="preserve"> </w:t>
      </w:r>
    </w:p>
    <w:p w14:paraId="7E49A41B" w14:textId="7FC7E055" w:rsidR="00895D41" w:rsidRPr="0011716C" w:rsidRDefault="00AA5E9E" w:rsidP="00755845">
      <w:pPr>
        <w:tabs>
          <w:tab w:val="left" w:pos="5070"/>
        </w:tabs>
        <w:spacing w:line="360" w:lineRule="auto"/>
        <w:ind w:firstLine="709"/>
        <w:contextualSpacing/>
        <w:jc w:val="both"/>
        <w:rPr>
          <w:rFonts w:cstheme="minorHAnsi"/>
          <w:sz w:val="24"/>
          <w:szCs w:val="24"/>
          <w:lang w:val="en-GB"/>
        </w:rPr>
      </w:pPr>
      <w:r w:rsidRPr="00203B80">
        <w:rPr>
          <w:rFonts w:cstheme="minorHAnsi"/>
          <w:sz w:val="24"/>
          <w:szCs w:val="24"/>
          <w:lang w:val="en-GB"/>
        </w:rPr>
        <w:t>In the sector of urban transport there is a prominence of municipal employers, with a corresponding municipal budget. There is a high trade union density in the urban transport industry and collective bargaining is transparent, regulated</w:t>
      </w:r>
      <w:r w:rsidR="002C554B">
        <w:rPr>
          <w:rFonts w:cstheme="minorHAnsi"/>
          <w:sz w:val="24"/>
          <w:szCs w:val="24"/>
          <w:lang w:val="en-GB"/>
        </w:rPr>
        <w:t>,</w:t>
      </w:r>
      <w:r w:rsidRPr="00203B80">
        <w:rPr>
          <w:rFonts w:cstheme="minorHAnsi"/>
          <w:sz w:val="24"/>
          <w:szCs w:val="24"/>
          <w:lang w:val="en-GB"/>
        </w:rPr>
        <w:t xml:space="preserve"> and clearly defined. Most public companies engage in collective bargaining and all public companies have transparent pay scales, detailing wage levels based on the time worked as well as additional bonuses and payments (Interview BG01).</w:t>
      </w:r>
    </w:p>
    <w:p w14:paraId="660DCC56" w14:textId="4A3D9F89" w:rsidR="00895D41" w:rsidRDefault="00AA5E9E" w:rsidP="00755845">
      <w:pPr>
        <w:tabs>
          <w:tab w:val="left" w:pos="5070"/>
        </w:tabs>
        <w:spacing w:line="360" w:lineRule="auto"/>
        <w:ind w:firstLine="709"/>
        <w:contextualSpacing/>
        <w:jc w:val="both"/>
        <w:rPr>
          <w:rFonts w:cstheme="minorHAnsi"/>
          <w:sz w:val="24"/>
          <w:szCs w:val="24"/>
          <w:lang w:val="en-GB"/>
        </w:rPr>
      </w:pPr>
      <w:r w:rsidRPr="00203B80">
        <w:rPr>
          <w:rFonts w:cstheme="minorHAnsi"/>
          <w:sz w:val="24"/>
          <w:szCs w:val="24"/>
          <w:lang w:val="en-GB"/>
        </w:rPr>
        <w:t>Collective labour agreements are most often bargained at the municipal level and always contain prov</w:t>
      </w:r>
      <w:r w:rsidR="00F22C3B">
        <w:rPr>
          <w:rFonts w:cstheme="minorHAnsi"/>
          <w:sz w:val="24"/>
          <w:szCs w:val="24"/>
          <w:lang w:val="en-GB"/>
        </w:rPr>
        <w:t>isions setting the minimum wage</w:t>
      </w:r>
      <w:r w:rsidRPr="00203B80">
        <w:rPr>
          <w:rFonts w:cstheme="minorHAnsi"/>
          <w:sz w:val="24"/>
          <w:szCs w:val="24"/>
          <w:lang w:val="en-GB"/>
        </w:rPr>
        <w:t xml:space="preserve"> with significant regional differences. For example, a transport company in the city of Varna it is the minimum wage, but a company in Sofia – Sofia </w:t>
      </w:r>
      <w:proofErr w:type="spellStart"/>
      <w:r w:rsidRPr="00203B80">
        <w:rPr>
          <w:rFonts w:cstheme="minorHAnsi"/>
          <w:sz w:val="24"/>
          <w:szCs w:val="24"/>
          <w:lang w:val="en-GB"/>
        </w:rPr>
        <w:t>Metropolitana</w:t>
      </w:r>
      <w:proofErr w:type="spellEnd"/>
      <w:r w:rsidRPr="00203B80">
        <w:rPr>
          <w:rFonts w:cstheme="minorHAnsi"/>
          <w:sz w:val="24"/>
          <w:szCs w:val="24"/>
          <w:lang w:val="en-GB"/>
        </w:rPr>
        <w:t xml:space="preserve"> – sets higher municipal minimum wages, where after protests workers secured a 15% wage increase (Interview BG01). According to data from the Bulgarian transport union, wage increase</w:t>
      </w:r>
      <w:r w:rsidR="00596251" w:rsidRPr="00203B80">
        <w:rPr>
          <w:rFonts w:cstheme="minorHAnsi"/>
          <w:sz w:val="24"/>
          <w:szCs w:val="24"/>
          <w:lang w:val="en-GB"/>
        </w:rPr>
        <w:t>s</w:t>
      </w:r>
      <w:r w:rsidR="00F22C3B">
        <w:rPr>
          <w:rFonts w:cstheme="minorHAnsi"/>
          <w:sz w:val="24"/>
          <w:szCs w:val="24"/>
          <w:lang w:val="en-GB"/>
        </w:rPr>
        <w:t xml:space="preserve"> </w:t>
      </w:r>
      <w:r w:rsidRPr="00203B80">
        <w:rPr>
          <w:rFonts w:cstheme="minorHAnsi"/>
          <w:sz w:val="24"/>
          <w:szCs w:val="24"/>
          <w:lang w:val="en-GB"/>
        </w:rPr>
        <w:t xml:space="preserve">between 10-30% a year </w:t>
      </w:r>
      <w:r w:rsidR="00596251" w:rsidRPr="00203B80">
        <w:rPr>
          <w:rFonts w:cstheme="minorHAnsi"/>
          <w:sz w:val="24"/>
          <w:szCs w:val="24"/>
          <w:lang w:val="en-GB"/>
        </w:rPr>
        <w:t>are</w:t>
      </w:r>
      <w:r w:rsidRPr="00203B80">
        <w:rPr>
          <w:rFonts w:cstheme="minorHAnsi"/>
          <w:sz w:val="24"/>
          <w:szCs w:val="24"/>
          <w:lang w:val="en-GB"/>
        </w:rPr>
        <w:t xml:space="preserve"> </w:t>
      </w:r>
      <w:r w:rsidR="00F22C3B" w:rsidRPr="00203B80">
        <w:rPr>
          <w:rFonts w:cstheme="minorHAnsi"/>
          <w:sz w:val="24"/>
          <w:szCs w:val="24"/>
          <w:lang w:val="en-GB"/>
        </w:rPr>
        <w:t xml:space="preserve">usually </w:t>
      </w:r>
      <w:r w:rsidRPr="00203B80">
        <w:rPr>
          <w:rFonts w:cstheme="minorHAnsi"/>
          <w:sz w:val="24"/>
          <w:szCs w:val="24"/>
          <w:lang w:val="en-GB"/>
        </w:rPr>
        <w:t>achieved through bargaining on the municipal level. When it comes to single employer collective bargaining, the average yearly increase in wage setting was around 10-15% in some enterprises. Individual bargaining then goes above the rates agreed on in CBAs and there are significant regional differences as well as difference</w:t>
      </w:r>
      <w:r w:rsidR="00F22C3B">
        <w:rPr>
          <w:rFonts w:cstheme="minorHAnsi"/>
          <w:sz w:val="24"/>
          <w:szCs w:val="24"/>
          <w:lang w:val="en-GB"/>
        </w:rPr>
        <w:t>s</w:t>
      </w:r>
      <w:r w:rsidRPr="00203B80">
        <w:rPr>
          <w:rFonts w:cstheme="minorHAnsi"/>
          <w:sz w:val="24"/>
          <w:szCs w:val="24"/>
          <w:lang w:val="en-GB"/>
        </w:rPr>
        <w:t xml:space="preserve"> between companies (Interview BG04).</w:t>
      </w:r>
    </w:p>
    <w:p w14:paraId="65954480" w14:textId="382B8A45" w:rsidR="0053207E" w:rsidRPr="00755845" w:rsidRDefault="00AA5E9E" w:rsidP="00755845">
      <w:pPr>
        <w:tabs>
          <w:tab w:val="left" w:pos="5070"/>
        </w:tabs>
        <w:spacing w:line="360" w:lineRule="auto"/>
        <w:ind w:firstLine="709"/>
        <w:contextualSpacing/>
        <w:jc w:val="both"/>
        <w:rPr>
          <w:rFonts w:eastAsia="Times New Roman" w:cstheme="minorHAnsi"/>
          <w:sz w:val="24"/>
          <w:szCs w:val="24"/>
          <w:lang w:val="en-GB" w:eastAsia="sk-SK"/>
        </w:rPr>
      </w:pPr>
      <w:r w:rsidRPr="00203B80">
        <w:rPr>
          <w:rFonts w:cstheme="minorHAnsi"/>
          <w:sz w:val="24"/>
          <w:szCs w:val="24"/>
          <w:lang w:val="en-GB"/>
        </w:rPr>
        <w:t xml:space="preserve">There was a sectoral CBA, which expired in 2022 and new CBA is currently being negotiated. The sectoral CBA included the following terms: </w:t>
      </w:r>
      <w:r w:rsidRPr="00203B80">
        <w:rPr>
          <w:rFonts w:eastAsia="Times New Roman" w:cstheme="minorHAnsi"/>
          <w:sz w:val="24"/>
          <w:szCs w:val="24"/>
          <w:lang w:val="en-GB" w:eastAsia="sk-SK"/>
        </w:rPr>
        <w:t xml:space="preserve">an increase of the basic paid annual leave to at least 22 working days, the increase of the value of free meals and/or its supplements, an increase of the percentage of seniority to 1%, an increase of each hour worked at night by the amount of at least 40% of the minimum hourly wage for the sector for those involved in the transport process and not less than 25% for other employees, as well as the determination of the minimum monthly basic wage for the sector on the basis of the minimum wage for the country, increased by a coefficient of K=1.3 (Interview BG05). </w:t>
      </w:r>
    </w:p>
    <w:p w14:paraId="0119F744" w14:textId="0B837BFE" w:rsidR="00AA5E9E" w:rsidRPr="00F01203" w:rsidRDefault="00AA5E9E" w:rsidP="00755845">
      <w:pPr>
        <w:pStyle w:val="Nadpis2"/>
        <w:spacing w:line="360" w:lineRule="auto"/>
        <w:contextualSpacing/>
        <w:jc w:val="both"/>
        <w:rPr>
          <w:rFonts w:cstheme="majorHAnsi"/>
          <w:sz w:val="28"/>
          <w:szCs w:val="24"/>
          <w:lang w:val="en-GB"/>
        </w:rPr>
      </w:pPr>
      <w:bookmarkStart w:id="46" w:name="_Toc174086669"/>
      <w:r w:rsidRPr="00F01203">
        <w:rPr>
          <w:rFonts w:cstheme="majorHAnsi"/>
          <w:sz w:val="28"/>
          <w:szCs w:val="24"/>
          <w:lang w:val="en-GB"/>
        </w:rPr>
        <w:t>5.4 Waste management</w:t>
      </w:r>
      <w:bookmarkEnd w:id="46"/>
    </w:p>
    <w:p w14:paraId="2BE04388" w14:textId="391E23C9" w:rsidR="00AA5E9E" w:rsidRPr="00F31E0C" w:rsidRDefault="00AA5E9E" w:rsidP="00755845">
      <w:pPr>
        <w:spacing w:line="360" w:lineRule="auto"/>
        <w:ind w:firstLine="709"/>
        <w:contextualSpacing/>
        <w:jc w:val="both"/>
        <w:rPr>
          <w:rFonts w:cstheme="minorHAnsi"/>
          <w:sz w:val="24"/>
          <w:szCs w:val="24"/>
          <w:lang w:val="en-GB"/>
        </w:rPr>
      </w:pPr>
      <w:r w:rsidRPr="009F0436">
        <w:rPr>
          <w:rFonts w:cstheme="minorHAnsi"/>
          <w:sz w:val="24"/>
          <w:szCs w:val="24"/>
          <w:lang w:val="en-GB"/>
        </w:rPr>
        <w:t xml:space="preserve">Based on information from the </w:t>
      </w:r>
      <w:proofErr w:type="spellStart"/>
      <w:r w:rsidRPr="009F0436">
        <w:rPr>
          <w:rFonts w:cstheme="minorHAnsi"/>
          <w:sz w:val="24"/>
          <w:szCs w:val="24"/>
          <w:lang w:val="en-GB"/>
        </w:rPr>
        <w:t>Podkrepa</w:t>
      </w:r>
      <w:proofErr w:type="spellEnd"/>
      <w:r w:rsidRPr="009F0436">
        <w:rPr>
          <w:rFonts w:cstheme="minorHAnsi"/>
          <w:sz w:val="24"/>
          <w:szCs w:val="24"/>
          <w:lang w:val="en-GB"/>
        </w:rPr>
        <w:t xml:space="preserve"> trade union expert, in the waste manag</w:t>
      </w:r>
      <w:r w:rsidRPr="00035240">
        <w:rPr>
          <w:rFonts w:cstheme="minorHAnsi"/>
          <w:sz w:val="24"/>
          <w:szCs w:val="24"/>
          <w:lang w:val="en-GB"/>
        </w:rPr>
        <w:t>ement sector there are 27 collective agreements at the municipal level for waste collection, waste disposal activities</w:t>
      </w:r>
      <w:r w:rsidR="00F22C3B">
        <w:rPr>
          <w:rFonts w:cstheme="minorHAnsi"/>
          <w:sz w:val="24"/>
          <w:szCs w:val="24"/>
          <w:lang w:val="en-GB"/>
        </w:rPr>
        <w:t>,</w:t>
      </w:r>
      <w:r w:rsidRPr="00035240">
        <w:rPr>
          <w:rFonts w:cstheme="minorHAnsi"/>
          <w:sz w:val="24"/>
          <w:szCs w:val="24"/>
          <w:lang w:val="en-GB"/>
        </w:rPr>
        <w:t xml:space="preserve"> and materials and recovery. Every municipality receives concessions for contracting a private c</w:t>
      </w:r>
      <w:r w:rsidRPr="00F31E0C">
        <w:rPr>
          <w:rFonts w:cstheme="minorHAnsi"/>
          <w:sz w:val="24"/>
          <w:szCs w:val="24"/>
          <w:lang w:val="en-GB"/>
        </w:rPr>
        <w:t xml:space="preserve">ompany for waste management services, but there are few municipal enterprises as well. There are further 4 collective labour agreements for </w:t>
      </w:r>
      <w:r w:rsidRPr="00F31E0C">
        <w:rPr>
          <w:rFonts w:cstheme="minorHAnsi"/>
          <w:sz w:val="24"/>
          <w:szCs w:val="24"/>
          <w:lang w:val="en-GB"/>
        </w:rPr>
        <w:lastRenderedPageBreak/>
        <w:t xml:space="preserve">mediation and other waste management services and 71 agreements for water collection and 2 additional agreements for sewage. </w:t>
      </w:r>
    </w:p>
    <w:p w14:paraId="74F5AC67" w14:textId="75271F35" w:rsidR="00BC52FC" w:rsidRDefault="00AA5E9E" w:rsidP="00755845">
      <w:pPr>
        <w:spacing w:line="360" w:lineRule="auto"/>
        <w:ind w:firstLine="709"/>
        <w:contextualSpacing/>
        <w:jc w:val="both"/>
        <w:rPr>
          <w:rFonts w:cstheme="minorHAnsi"/>
          <w:sz w:val="24"/>
          <w:szCs w:val="24"/>
          <w:lang w:val="en-GB"/>
        </w:rPr>
      </w:pPr>
      <w:r w:rsidRPr="00F31E0C">
        <w:rPr>
          <w:rFonts w:cstheme="minorHAnsi"/>
          <w:sz w:val="24"/>
          <w:szCs w:val="24"/>
          <w:lang w:val="en-GB"/>
        </w:rPr>
        <w:t xml:space="preserve">The information on whether these CBAs contain wage stipulations is not available, but the municipal CBAs likely set minimum sectoral wages higher than the national statutory minimum wage as well as improved working conditions (Interview BG05). Collective bargaining in the waste management sector is in general concerned with improving working conditions as large numbers of workers in the sector are of Roma origin and often lack transportation to and from work. They are usually employed in the low paid positions such as floor sweepers and receive slightly higher than minimum wages, where the statutory minimum wage constitutes around 80% of the wages (Interview BG01). </w:t>
      </w:r>
    </w:p>
    <w:p w14:paraId="78E5355A" w14:textId="77777777" w:rsidR="00BC52FC" w:rsidRDefault="00BC52FC" w:rsidP="00755845">
      <w:pPr>
        <w:contextualSpacing/>
        <w:rPr>
          <w:rFonts w:cstheme="minorHAnsi"/>
          <w:sz w:val="24"/>
          <w:szCs w:val="24"/>
          <w:lang w:val="en-GB"/>
        </w:rPr>
      </w:pPr>
      <w:r>
        <w:rPr>
          <w:rFonts w:cstheme="minorHAnsi"/>
          <w:sz w:val="24"/>
          <w:szCs w:val="24"/>
          <w:lang w:val="en-GB"/>
        </w:rPr>
        <w:br w:type="page"/>
      </w:r>
    </w:p>
    <w:p w14:paraId="6447655D" w14:textId="64CB458B" w:rsidR="00CA02B7" w:rsidRPr="00755845" w:rsidRDefault="004372F5" w:rsidP="00755845">
      <w:pPr>
        <w:pStyle w:val="Nadpis1"/>
        <w:numPr>
          <w:ilvl w:val="0"/>
          <w:numId w:val="18"/>
        </w:numPr>
        <w:spacing w:line="360" w:lineRule="auto"/>
        <w:contextualSpacing/>
        <w:jc w:val="both"/>
        <w:rPr>
          <w:rFonts w:cstheme="majorHAnsi"/>
          <w:szCs w:val="24"/>
          <w:lang w:val="en-GB"/>
        </w:rPr>
      </w:pPr>
      <w:bookmarkStart w:id="47" w:name="_Toc174086670"/>
      <w:r w:rsidRPr="00F01203">
        <w:rPr>
          <w:rFonts w:cstheme="majorHAnsi"/>
          <w:szCs w:val="24"/>
          <w:lang w:val="en-GB"/>
        </w:rPr>
        <w:lastRenderedPageBreak/>
        <w:t xml:space="preserve">Conclusions: </w:t>
      </w:r>
      <w:r w:rsidR="003146D5" w:rsidRPr="00F01203">
        <w:rPr>
          <w:rFonts w:cstheme="majorHAnsi"/>
          <w:szCs w:val="24"/>
          <w:lang w:val="en-GB"/>
        </w:rPr>
        <w:t xml:space="preserve">Uprating of wages </w:t>
      </w:r>
      <w:r w:rsidRPr="00F01203">
        <w:rPr>
          <w:rFonts w:cstheme="majorHAnsi"/>
          <w:szCs w:val="24"/>
          <w:lang w:val="en-GB"/>
        </w:rPr>
        <w:t xml:space="preserve">in a </w:t>
      </w:r>
      <w:r w:rsidR="003146D5" w:rsidRPr="00F01203">
        <w:rPr>
          <w:rFonts w:cstheme="majorHAnsi"/>
          <w:szCs w:val="24"/>
          <w:lang w:val="en-GB"/>
        </w:rPr>
        <w:t>cross-sectoral view</w:t>
      </w:r>
      <w:r w:rsidRPr="00F01203">
        <w:rPr>
          <w:rFonts w:cstheme="majorHAnsi"/>
          <w:szCs w:val="24"/>
          <w:lang w:val="en-GB"/>
        </w:rPr>
        <w:t xml:space="preserve"> and institutional change</w:t>
      </w:r>
      <w:bookmarkEnd w:id="47"/>
    </w:p>
    <w:p w14:paraId="5A0D6944" w14:textId="70211C5A" w:rsidR="00B934C1" w:rsidRDefault="002B6643" w:rsidP="00B934C1">
      <w:pPr>
        <w:spacing w:line="360" w:lineRule="auto"/>
        <w:ind w:firstLine="709"/>
        <w:contextualSpacing/>
        <w:jc w:val="both"/>
        <w:rPr>
          <w:rFonts w:cstheme="minorHAnsi"/>
          <w:sz w:val="24"/>
          <w:szCs w:val="24"/>
          <w:lang w:val="en-GB"/>
        </w:rPr>
      </w:pPr>
      <w:r w:rsidRPr="00203B80">
        <w:rPr>
          <w:rFonts w:cstheme="minorHAnsi"/>
          <w:sz w:val="24"/>
          <w:szCs w:val="24"/>
          <w:lang w:val="en-GB"/>
        </w:rPr>
        <w:t>In Bulgaria</w:t>
      </w:r>
      <w:r w:rsidR="000C3443" w:rsidRPr="00203B80">
        <w:rPr>
          <w:rFonts w:cstheme="minorHAnsi"/>
          <w:sz w:val="24"/>
          <w:szCs w:val="24"/>
          <w:lang w:val="en-GB"/>
        </w:rPr>
        <w:t>,</w:t>
      </w:r>
      <w:r w:rsidRPr="00203B80">
        <w:rPr>
          <w:rFonts w:cstheme="minorHAnsi"/>
          <w:sz w:val="24"/>
          <w:szCs w:val="24"/>
          <w:lang w:val="en-GB"/>
        </w:rPr>
        <w:t xml:space="preserve"> the general tendency in collective bargaining is towards decentrali</w:t>
      </w:r>
      <w:r w:rsidR="00E04D46" w:rsidRPr="00203B80">
        <w:rPr>
          <w:rFonts w:cstheme="minorHAnsi"/>
          <w:sz w:val="24"/>
          <w:szCs w:val="24"/>
          <w:lang w:val="en-GB"/>
        </w:rPr>
        <w:t>s</w:t>
      </w:r>
      <w:r w:rsidRPr="00203B80">
        <w:rPr>
          <w:rFonts w:cstheme="minorHAnsi"/>
          <w:sz w:val="24"/>
          <w:szCs w:val="24"/>
          <w:lang w:val="en-GB"/>
        </w:rPr>
        <w:t>ation and collective bargaining most often takes place at the enterprise level (</w:t>
      </w:r>
      <w:proofErr w:type="spellStart"/>
      <w:r w:rsidRPr="00203B80">
        <w:rPr>
          <w:rFonts w:cstheme="minorHAnsi"/>
          <w:sz w:val="24"/>
          <w:szCs w:val="24"/>
          <w:lang w:val="en-GB"/>
        </w:rPr>
        <w:t>Kahancová</w:t>
      </w:r>
      <w:proofErr w:type="spellEnd"/>
      <w:r w:rsidRPr="00203B80">
        <w:rPr>
          <w:rFonts w:cstheme="minorHAnsi"/>
          <w:sz w:val="24"/>
          <w:szCs w:val="24"/>
          <w:lang w:val="en-GB"/>
        </w:rPr>
        <w:t xml:space="preserve"> </w:t>
      </w:r>
      <w:r w:rsidR="00CC6B26" w:rsidRPr="00203B80">
        <w:rPr>
          <w:rFonts w:cstheme="minorHAnsi"/>
          <w:sz w:val="24"/>
          <w:szCs w:val="24"/>
          <w:lang w:val="en-GB"/>
        </w:rPr>
        <w:t xml:space="preserve">&amp; </w:t>
      </w:r>
      <w:r w:rsidR="002B2995">
        <w:rPr>
          <w:rFonts w:cstheme="minorHAnsi"/>
          <w:sz w:val="24"/>
          <w:szCs w:val="24"/>
          <w:lang w:val="en-GB"/>
        </w:rPr>
        <w:t>Kirov</w:t>
      </w:r>
      <w:r w:rsidR="003A5D36">
        <w:rPr>
          <w:rFonts w:cstheme="minorHAnsi"/>
          <w:sz w:val="24"/>
          <w:szCs w:val="24"/>
          <w:lang w:val="en-GB"/>
        </w:rPr>
        <w:t>,</w:t>
      </w:r>
      <w:r w:rsidR="002B2995">
        <w:rPr>
          <w:rFonts w:cstheme="minorHAnsi"/>
          <w:sz w:val="24"/>
          <w:szCs w:val="24"/>
          <w:lang w:val="en-GB"/>
        </w:rPr>
        <w:t xml:space="preserve"> 2022).</w:t>
      </w:r>
    </w:p>
    <w:p w14:paraId="13895071" w14:textId="3369D50B" w:rsidR="00EC78A4" w:rsidRPr="00203B80" w:rsidRDefault="00D6039A" w:rsidP="00B934C1">
      <w:pPr>
        <w:spacing w:line="360" w:lineRule="auto"/>
        <w:ind w:firstLine="709"/>
        <w:contextualSpacing/>
        <w:jc w:val="both"/>
        <w:rPr>
          <w:rFonts w:cstheme="minorHAnsi"/>
          <w:sz w:val="24"/>
          <w:szCs w:val="24"/>
          <w:lang w:val="en-GB"/>
        </w:rPr>
      </w:pPr>
      <w:r w:rsidRPr="00203B80">
        <w:rPr>
          <w:rFonts w:cstheme="minorHAnsi"/>
          <w:sz w:val="24"/>
          <w:szCs w:val="24"/>
          <w:lang w:val="en-GB"/>
        </w:rPr>
        <w:t>The most important</w:t>
      </w:r>
      <w:r w:rsidR="000E21AE" w:rsidRPr="00203B80">
        <w:rPr>
          <w:rFonts w:cstheme="minorHAnsi"/>
          <w:sz w:val="24"/>
          <w:szCs w:val="24"/>
          <w:lang w:val="en-GB"/>
        </w:rPr>
        <w:t xml:space="preserve"> wage-setting</w:t>
      </w:r>
      <w:r w:rsidRPr="00203B80">
        <w:rPr>
          <w:rFonts w:cstheme="minorHAnsi"/>
          <w:sz w:val="24"/>
          <w:szCs w:val="24"/>
          <w:lang w:val="en-GB"/>
        </w:rPr>
        <w:t xml:space="preserve"> mechanism in Bulgaria is the statutory minimum wage, which increases </w:t>
      </w:r>
      <w:r w:rsidR="003A5D36">
        <w:rPr>
          <w:rFonts w:cstheme="minorHAnsi"/>
          <w:sz w:val="24"/>
          <w:szCs w:val="24"/>
          <w:lang w:val="en-GB"/>
        </w:rPr>
        <w:t>yearly in January according to the</w:t>
      </w:r>
      <w:r w:rsidRPr="00203B80">
        <w:rPr>
          <w:rFonts w:cstheme="minorHAnsi"/>
          <w:sz w:val="24"/>
          <w:szCs w:val="24"/>
          <w:lang w:val="en-GB"/>
        </w:rPr>
        <w:t xml:space="preserve"> new mechanism. </w:t>
      </w:r>
      <w:r w:rsidR="00EC78A4" w:rsidRPr="00203B80">
        <w:rPr>
          <w:rFonts w:cstheme="minorHAnsi"/>
          <w:sz w:val="24"/>
          <w:szCs w:val="24"/>
          <w:lang w:val="en-GB"/>
        </w:rPr>
        <w:t xml:space="preserve">The relevance of minimum wage is attributed to </w:t>
      </w:r>
      <w:r w:rsidR="003A5D36" w:rsidRPr="00203B80">
        <w:rPr>
          <w:rFonts w:cstheme="minorHAnsi"/>
          <w:sz w:val="24"/>
          <w:szCs w:val="24"/>
          <w:lang w:val="en-GB"/>
        </w:rPr>
        <w:t>the low</w:t>
      </w:r>
      <w:r w:rsidR="00351BEF" w:rsidRPr="00203B80">
        <w:rPr>
          <w:rFonts w:cstheme="minorHAnsi"/>
          <w:sz w:val="24"/>
          <w:szCs w:val="24"/>
          <w:lang w:val="en-GB"/>
        </w:rPr>
        <w:t xml:space="preserve"> rates</w:t>
      </w:r>
      <w:r w:rsidR="00EC78A4" w:rsidRPr="00203B80">
        <w:rPr>
          <w:rFonts w:cstheme="minorHAnsi"/>
          <w:sz w:val="24"/>
          <w:szCs w:val="24"/>
          <w:lang w:val="en-GB"/>
        </w:rPr>
        <w:t xml:space="preserve"> of collective bargaining on sectoral levels in most industries and a lack of national, sectoral</w:t>
      </w:r>
      <w:r w:rsidR="003A5D36">
        <w:rPr>
          <w:rFonts w:cstheme="minorHAnsi"/>
          <w:sz w:val="24"/>
          <w:szCs w:val="24"/>
          <w:lang w:val="en-GB"/>
        </w:rPr>
        <w:t>,</w:t>
      </w:r>
      <w:r w:rsidR="00EC78A4" w:rsidRPr="00203B80">
        <w:rPr>
          <w:rFonts w:cstheme="minorHAnsi"/>
          <w:sz w:val="24"/>
          <w:szCs w:val="24"/>
          <w:lang w:val="en-GB"/>
        </w:rPr>
        <w:t xml:space="preserve"> and branch collective bargaining, with some exceptions. </w:t>
      </w:r>
      <w:r w:rsidR="003146D5" w:rsidRPr="00203B80">
        <w:rPr>
          <w:rFonts w:cstheme="minorHAnsi"/>
          <w:sz w:val="24"/>
          <w:szCs w:val="24"/>
          <w:lang w:val="en-GB"/>
        </w:rPr>
        <w:t xml:space="preserve">In some sectors, such as </w:t>
      </w:r>
      <w:r w:rsidR="00CF21DB" w:rsidRPr="00203B80">
        <w:rPr>
          <w:rFonts w:cstheme="minorHAnsi"/>
          <w:sz w:val="24"/>
          <w:szCs w:val="24"/>
          <w:lang w:val="en-GB"/>
        </w:rPr>
        <w:t xml:space="preserve">urban transportation or waste management, municipal collective bargaining is more common, due to the sector organization and the availability of public funds, especially when public companies are concerned. </w:t>
      </w:r>
      <w:r w:rsidR="004A70B8" w:rsidRPr="00203B80">
        <w:rPr>
          <w:rFonts w:cstheme="minorHAnsi"/>
          <w:sz w:val="24"/>
          <w:szCs w:val="24"/>
          <w:lang w:val="en-GB"/>
        </w:rPr>
        <w:t xml:space="preserve">Most uprating of wages is done at the company level, but in the construction sector there is </w:t>
      </w:r>
      <w:r w:rsidR="002B2995" w:rsidRPr="00203B80">
        <w:rPr>
          <w:rFonts w:cstheme="minorHAnsi"/>
          <w:sz w:val="24"/>
          <w:szCs w:val="24"/>
          <w:lang w:val="en-GB"/>
        </w:rPr>
        <w:t>a sectoral</w:t>
      </w:r>
      <w:r w:rsidR="00351BEF" w:rsidRPr="00203B80">
        <w:rPr>
          <w:rFonts w:cstheme="minorHAnsi"/>
          <w:sz w:val="24"/>
          <w:szCs w:val="24"/>
          <w:lang w:val="en-GB"/>
        </w:rPr>
        <w:t xml:space="preserve"> collective labour agreement</w:t>
      </w:r>
      <w:r w:rsidR="004A70B8" w:rsidRPr="00203B80">
        <w:rPr>
          <w:rFonts w:cstheme="minorHAnsi"/>
          <w:sz w:val="24"/>
          <w:szCs w:val="24"/>
          <w:lang w:val="en-GB"/>
        </w:rPr>
        <w:t xml:space="preserve">, which sets higher minimum wages via use of a multiplier </w:t>
      </w:r>
      <w:r w:rsidR="000C3443" w:rsidRPr="00203B80">
        <w:rPr>
          <w:rFonts w:cstheme="minorHAnsi"/>
          <w:sz w:val="24"/>
          <w:szCs w:val="24"/>
          <w:lang w:val="en-GB"/>
        </w:rPr>
        <w:t xml:space="preserve">coefficient. This multiplier is </w:t>
      </w:r>
      <w:r w:rsidR="004A70B8" w:rsidRPr="00203B80">
        <w:rPr>
          <w:rFonts w:cstheme="minorHAnsi"/>
          <w:sz w:val="24"/>
          <w:szCs w:val="24"/>
          <w:lang w:val="en-GB"/>
        </w:rPr>
        <w:t xml:space="preserve">currently </w:t>
      </w:r>
      <w:r w:rsidR="000C3443" w:rsidRPr="00203B80">
        <w:rPr>
          <w:rFonts w:cstheme="minorHAnsi"/>
          <w:sz w:val="24"/>
          <w:szCs w:val="24"/>
          <w:lang w:val="en-GB"/>
        </w:rPr>
        <w:t xml:space="preserve">set </w:t>
      </w:r>
      <w:r w:rsidR="004A70B8" w:rsidRPr="00203B80">
        <w:rPr>
          <w:rFonts w:cstheme="minorHAnsi"/>
          <w:sz w:val="24"/>
          <w:szCs w:val="24"/>
          <w:lang w:val="en-GB"/>
        </w:rPr>
        <w:t xml:space="preserve">at </w:t>
      </w:r>
      <w:r w:rsidR="003C0C61">
        <w:rPr>
          <w:rFonts w:cstheme="minorHAnsi"/>
          <w:sz w:val="24"/>
          <w:szCs w:val="24"/>
          <w:lang w:val="en-GB"/>
        </w:rPr>
        <w:t>K=</w:t>
      </w:r>
      <w:r w:rsidR="004A70B8" w:rsidRPr="0011716C">
        <w:rPr>
          <w:rFonts w:cstheme="minorHAnsi"/>
          <w:sz w:val="24"/>
          <w:szCs w:val="24"/>
          <w:lang w:val="en-GB"/>
        </w:rPr>
        <w:t xml:space="preserve">1.4 of the </w:t>
      </w:r>
      <w:r w:rsidR="000C3443" w:rsidRPr="00203B80">
        <w:rPr>
          <w:rFonts w:cstheme="minorHAnsi"/>
          <w:sz w:val="24"/>
          <w:szCs w:val="24"/>
          <w:lang w:val="en-GB"/>
        </w:rPr>
        <w:t xml:space="preserve">statutory </w:t>
      </w:r>
      <w:r w:rsidR="004A70B8" w:rsidRPr="00203B80">
        <w:rPr>
          <w:rFonts w:cstheme="minorHAnsi"/>
          <w:sz w:val="24"/>
          <w:szCs w:val="24"/>
          <w:lang w:val="en-GB"/>
        </w:rPr>
        <w:t>minimum wage</w:t>
      </w:r>
      <w:r w:rsidR="00A978F8" w:rsidRPr="00203B80">
        <w:rPr>
          <w:rFonts w:cstheme="minorHAnsi"/>
          <w:sz w:val="24"/>
          <w:szCs w:val="24"/>
          <w:lang w:val="en-GB"/>
        </w:rPr>
        <w:t>, meaning that the minimum wages in the construction sector are 1.4 times higher than the statutory minimum wages. P</w:t>
      </w:r>
      <w:r w:rsidR="004A70B8" w:rsidRPr="00203B80">
        <w:rPr>
          <w:rFonts w:cstheme="minorHAnsi"/>
          <w:sz w:val="24"/>
          <w:szCs w:val="24"/>
          <w:lang w:val="en-GB"/>
        </w:rPr>
        <w:t>reviously</w:t>
      </w:r>
      <w:r w:rsidR="00A978F8" w:rsidRPr="00203B80">
        <w:rPr>
          <w:rFonts w:cstheme="minorHAnsi"/>
          <w:sz w:val="24"/>
          <w:szCs w:val="24"/>
          <w:lang w:val="en-GB"/>
        </w:rPr>
        <w:t>,</w:t>
      </w:r>
      <w:r w:rsidR="004A70B8" w:rsidRPr="00203B80">
        <w:rPr>
          <w:rFonts w:cstheme="minorHAnsi"/>
          <w:sz w:val="24"/>
          <w:szCs w:val="24"/>
          <w:lang w:val="en-GB"/>
        </w:rPr>
        <w:t xml:space="preserve"> in the waste management sector there was a minimum wage multiplier of </w:t>
      </w:r>
      <w:r w:rsidR="003C0C61">
        <w:rPr>
          <w:rFonts w:cstheme="minorHAnsi"/>
          <w:sz w:val="24"/>
          <w:szCs w:val="24"/>
          <w:lang w:val="en-GB"/>
        </w:rPr>
        <w:t>K=</w:t>
      </w:r>
      <w:r w:rsidR="004A70B8" w:rsidRPr="0011716C">
        <w:rPr>
          <w:rFonts w:cstheme="minorHAnsi"/>
          <w:sz w:val="24"/>
          <w:szCs w:val="24"/>
          <w:lang w:val="en-GB"/>
        </w:rPr>
        <w:t>1.3. The use of multipliers results in calculated increases after yearly increase of the minimum wage, which happen</w:t>
      </w:r>
      <w:r w:rsidR="004A70B8" w:rsidRPr="00203B80">
        <w:rPr>
          <w:rFonts w:cstheme="minorHAnsi"/>
          <w:sz w:val="24"/>
          <w:szCs w:val="24"/>
          <w:lang w:val="en-GB"/>
        </w:rPr>
        <w:t xml:space="preserve"> in January. </w:t>
      </w:r>
    </w:p>
    <w:p w14:paraId="17B854D7" w14:textId="24845D4E" w:rsidR="006614F1" w:rsidRPr="0011716C" w:rsidRDefault="00CA02B7" w:rsidP="00755845">
      <w:pPr>
        <w:spacing w:line="360" w:lineRule="auto"/>
        <w:ind w:firstLine="708"/>
        <w:contextualSpacing/>
        <w:jc w:val="both"/>
        <w:rPr>
          <w:rFonts w:cstheme="minorHAnsi"/>
          <w:sz w:val="24"/>
          <w:szCs w:val="24"/>
          <w:lang w:val="en-GB"/>
        </w:rPr>
      </w:pPr>
      <w:r w:rsidRPr="00203B80">
        <w:rPr>
          <w:rFonts w:cstheme="minorHAnsi"/>
          <w:sz w:val="24"/>
          <w:szCs w:val="24"/>
          <w:lang w:val="en-GB"/>
        </w:rPr>
        <w:t>To conclude, e</w:t>
      </w:r>
      <w:r w:rsidR="00EC78A4" w:rsidRPr="00203B80">
        <w:rPr>
          <w:rFonts w:cstheme="minorHAnsi"/>
          <w:sz w:val="24"/>
          <w:szCs w:val="24"/>
          <w:lang w:val="en-GB"/>
        </w:rPr>
        <w:t xml:space="preserve">mployer representatives engage in lobbying for lower statutory minimum wages, but trade unions stress its importance as there is not </w:t>
      </w:r>
      <w:r w:rsidR="006614F1" w:rsidRPr="00203B80">
        <w:rPr>
          <w:rFonts w:cstheme="minorHAnsi"/>
          <w:sz w:val="24"/>
          <w:szCs w:val="24"/>
          <w:lang w:val="en-GB"/>
        </w:rPr>
        <w:t>enough collective bargaining to set adequate minimum wages for all workers</w:t>
      </w:r>
      <w:r w:rsidR="002B6643" w:rsidRPr="00203B80">
        <w:rPr>
          <w:rFonts w:cstheme="minorHAnsi"/>
          <w:sz w:val="24"/>
          <w:szCs w:val="24"/>
          <w:lang w:val="en-GB"/>
        </w:rPr>
        <w:t xml:space="preserve"> (Interview BG05)</w:t>
      </w:r>
      <w:r w:rsidR="006614F1" w:rsidRPr="00203B80">
        <w:rPr>
          <w:rFonts w:cstheme="minorHAnsi"/>
          <w:sz w:val="24"/>
          <w:szCs w:val="24"/>
          <w:lang w:val="en-GB"/>
        </w:rPr>
        <w:t xml:space="preserve">. Another major debate is related to the extension of collective agreements provisions to non-union members, under the current legislation extension mechanism can be implemented only with the agreement of the employer, which rarely happens. The non-extension is closely related to trade union membership, </w:t>
      </w:r>
      <w:r w:rsidR="007D621F" w:rsidRPr="00203B80">
        <w:rPr>
          <w:rFonts w:cstheme="minorHAnsi"/>
          <w:sz w:val="24"/>
          <w:szCs w:val="24"/>
          <w:lang w:val="en-GB"/>
        </w:rPr>
        <w:t xml:space="preserve">where for a trade union to be able to participate in </w:t>
      </w:r>
      <w:r w:rsidR="00F07B89" w:rsidRPr="00203B80">
        <w:rPr>
          <w:rFonts w:cstheme="minorHAnsi"/>
          <w:sz w:val="24"/>
          <w:szCs w:val="24"/>
          <w:lang w:val="en-GB"/>
        </w:rPr>
        <w:t xml:space="preserve">certain levels of </w:t>
      </w:r>
      <w:r w:rsidR="007D621F" w:rsidRPr="00203B80">
        <w:rPr>
          <w:rFonts w:cstheme="minorHAnsi"/>
          <w:sz w:val="24"/>
          <w:szCs w:val="24"/>
          <w:lang w:val="en-GB"/>
        </w:rPr>
        <w:t xml:space="preserve">collective bargaining and </w:t>
      </w:r>
      <w:r w:rsidR="00F07B89" w:rsidRPr="00203B80">
        <w:rPr>
          <w:rFonts w:cstheme="minorHAnsi"/>
          <w:sz w:val="24"/>
          <w:szCs w:val="24"/>
          <w:lang w:val="en-GB"/>
        </w:rPr>
        <w:t xml:space="preserve">to </w:t>
      </w:r>
      <w:r w:rsidR="007D621F" w:rsidRPr="00203B80">
        <w:rPr>
          <w:rFonts w:cstheme="minorHAnsi"/>
          <w:sz w:val="24"/>
          <w:szCs w:val="24"/>
          <w:lang w:val="en-GB"/>
        </w:rPr>
        <w:t xml:space="preserve">be </w:t>
      </w:r>
      <w:r w:rsidR="00F07B89" w:rsidRPr="00203B80">
        <w:rPr>
          <w:rFonts w:cstheme="minorHAnsi"/>
          <w:sz w:val="24"/>
          <w:szCs w:val="24"/>
          <w:lang w:val="en-GB"/>
        </w:rPr>
        <w:t xml:space="preserve">considered a </w:t>
      </w:r>
      <w:r w:rsidR="007D621F" w:rsidRPr="00203B80">
        <w:rPr>
          <w:rFonts w:cstheme="minorHAnsi"/>
          <w:sz w:val="24"/>
          <w:szCs w:val="24"/>
          <w:lang w:val="en-GB"/>
        </w:rPr>
        <w:t>nationally representative</w:t>
      </w:r>
      <w:r w:rsidR="00F07B89" w:rsidRPr="00203B80">
        <w:rPr>
          <w:rFonts w:cstheme="minorHAnsi"/>
          <w:sz w:val="24"/>
          <w:szCs w:val="24"/>
          <w:lang w:val="en-GB"/>
        </w:rPr>
        <w:t xml:space="preserve"> trade union,</w:t>
      </w:r>
      <w:r w:rsidR="007D621F" w:rsidRPr="00203B80">
        <w:rPr>
          <w:rFonts w:cstheme="minorHAnsi"/>
          <w:sz w:val="24"/>
          <w:szCs w:val="24"/>
          <w:lang w:val="en-GB"/>
        </w:rPr>
        <w:t xml:space="preserve"> it must have at least 50 000 members,</w:t>
      </w:r>
      <w:r w:rsidR="00F07B89" w:rsidRPr="00203B80">
        <w:rPr>
          <w:rFonts w:cstheme="minorHAnsi"/>
          <w:sz w:val="24"/>
          <w:szCs w:val="24"/>
          <w:lang w:val="en-GB"/>
        </w:rPr>
        <w:t xml:space="preserve"> a threshold reached only by two trade union organizations in Bulgaria. Therefore, the application of non-extension is a tool to ensure sufficient trade union membership to be able to engage in collective bargaining (</w:t>
      </w:r>
      <w:r w:rsidR="00A978F8" w:rsidRPr="00203B80">
        <w:rPr>
          <w:rFonts w:cstheme="minorHAnsi"/>
          <w:sz w:val="24"/>
          <w:szCs w:val="24"/>
          <w:lang w:val="en-GB"/>
        </w:rPr>
        <w:t>Interview BG05</w:t>
      </w:r>
      <w:r w:rsidR="00F07B89" w:rsidRPr="00203B80">
        <w:rPr>
          <w:rFonts w:cstheme="minorHAnsi"/>
          <w:sz w:val="24"/>
          <w:szCs w:val="24"/>
          <w:lang w:val="en-GB"/>
        </w:rPr>
        <w:t xml:space="preserve">). </w:t>
      </w:r>
    </w:p>
    <w:p w14:paraId="0CEF0082" w14:textId="77777777" w:rsidR="00766773" w:rsidRDefault="000E21AE" w:rsidP="00766773">
      <w:pPr>
        <w:pStyle w:val="Zarkazkladnhotextu"/>
        <w:tabs>
          <w:tab w:val="clear" w:pos="5070"/>
        </w:tabs>
      </w:pPr>
      <w:r w:rsidRPr="00203B80">
        <w:lastRenderedPageBreak/>
        <w:t xml:space="preserve">Trade unions are pushing for </w:t>
      </w:r>
      <w:r w:rsidR="002B6643" w:rsidRPr="00203B80">
        <w:t xml:space="preserve">additional </w:t>
      </w:r>
      <w:r w:rsidRPr="00203B80">
        <w:t xml:space="preserve">wage setting mechanisms </w:t>
      </w:r>
      <w:r w:rsidR="002B6643" w:rsidRPr="00203B80">
        <w:t xml:space="preserve">beyond the minimum wage as a benchmark. Currently, the trend in wage setting mechanisms is a move towards decentralisation with greater employer discretion. Employers mostly do not engage in coordinated wage </w:t>
      </w:r>
      <w:r w:rsidR="002B6643" w:rsidRPr="00766773">
        <w:t>bargaining beyond the enterprise level (Interview BG02). I</w:t>
      </w:r>
      <w:r w:rsidRPr="00766773">
        <w:t>n th</w:t>
      </w:r>
      <w:r w:rsidR="002B6643" w:rsidRPr="00766773">
        <w:t xml:space="preserve">is </w:t>
      </w:r>
      <w:r w:rsidRPr="00766773">
        <w:t>context</w:t>
      </w:r>
      <w:r w:rsidR="002B6643" w:rsidRPr="00766773">
        <w:t>,</w:t>
      </w:r>
      <w:r w:rsidRPr="00766773">
        <w:t xml:space="preserve"> the EU Directive on </w:t>
      </w:r>
      <w:r w:rsidR="002B6643" w:rsidRPr="00766773">
        <w:t xml:space="preserve">adequate </w:t>
      </w:r>
      <w:r w:rsidRPr="00766773">
        <w:t xml:space="preserve">minimum wages and its aim to increase collective </w:t>
      </w:r>
      <w:r w:rsidR="008632D2" w:rsidRPr="00766773">
        <w:t xml:space="preserve">bargaining coverage </w:t>
      </w:r>
      <w:r w:rsidR="002B6643" w:rsidRPr="00766773">
        <w:t xml:space="preserve">up </w:t>
      </w:r>
      <w:r w:rsidR="008632D2" w:rsidRPr="00766773">
        <w:t>to 80%</w:t>
      </w:r>
      <w:r w:rsidR="002B6643" w:rsidRPr="00766773">
        <w:t xml:space="preserve"> may serve as a new impetus for changes to the established, yet decentrali</w:t>
      </w:r>
      <w:r w:rsidR="00E04D46" w:rsidRPr="00766773">
        <w:t>s</w:t>
      </w:r>
      <w:r w:rsidR="002B6643" w:rsidRPr="00766773">
        <w:t>ed, wage setting procedures.</w:t>
      </w:r>
      <w:r w:rsidR="00766773">
        <w:t xml:space="preserve"> </w:t>
      </w:r>
    </w:p>
    <w:p w14:paraId="1F541A76" w14:textId="47F3397E" w:rsidR="00E64D0C" w:rsidRPr="00766773" w:rsidRDefault="003525C1" w:rsidP="00766773">
      <w:pPr>
        <w:pStyle w:val="Zarkazkladnhotextu"/>
        <w:tabs>
          <w:tab w:val="clear" w:pos="5070"/>
        </w:tabs>
      </w:pPr>
      <w:r w:rsidRPr="00766773">
        <w:rPr>
          <w:rFonts w:cstheme="minorBidi"/>
          <w:lang w:val="it-IT"/>
        </w:rPr>
        <w:t xml:space="preserve">However, the current </w:t>
      </w:r>
      <w:r w:rsidR="008C4736" w:rsidRPr="00766773">
        <w:rPr>
          <w:rFonts w:cstheme="minorBidi"/>
          <w:lang w:val="it-IT"/>
        </w:rPr>
        <w:t>situation</w:t>
      </w:r>
      <w:r w:rsidRPr="00766773">
        <w:rPr>
          <w:rFonts w:cstheme="minorBidi"/>
          <w:lang w:val="it-IT"/>
        </w:rPr>
        <w:t xml:space="preserve"> in Bulgaria</w:t>
      </w:r>
      <w:r w:rsidR="008C4736" w:rsidRPr="00766773">
        <w:rPr>
          <w:rFonts w:cstheme="minorBidi"/>
          <w:lang w:val="it-IT"/>
        </w:rPr>
        <w:t xml:space="preserve"> poses a challenge to meeting the EC Directive on Adequate Minimum Wages, namely, increasing bargaining coverage to 80% of employees. </w:t>
      </w:r>
      <w:r w:rsidRPr="00766773">
        <w:rPr>
          <w:rFonts w:cstheme="minorBidi"/>
          <w:lang w:val="it-IT"/>
        </w:rPr>
        <w:t xml:space="preserve"> </w:t>
      </w:r>
      <w:r w:rsidR="008C4736" w:rsidRPr="00766773">
        <w:rPr>
          <w:rFonts w:cstheme="minorBidi"/>
          <w:lang w:val="it-IT"/>
        </w:rPr>
        <w:t xml:space="preserve">The main reasons include bargaining decentralisation trends, lack of interest of employers in coordinated bargaining, </w:t>
      </w:r>
      <w:r w:rsidRPr="00766773">
        <w:rPr>
          <w:rFonts w:cstheme="minorBidi"/>
          <w:lang w:val="it-IT"/>
        </w:rPr>
        <w:t xml:space="preserve">membership requirements for nationally representative unions, </w:t>
      </w:r>
      <w:r w:rsidR="008C4736" w:rsidRPr="00766773">
        <w:rPr>
          <w:rFonts w:cstheme="minorBidi"/>
          <w:lang w:val="it-IT"/>
        </w:rPr>
        <w:t xml:space="preserve">the lack of regulation and practice of extension of collective agreements’ coverage, the fact that </w:t>
      </w:r>
      <w:r w:rsidRPr="00766773">
        <w:rPr>
          <w:rFonts w:cstheme="minorBidi"/>
          <w:lang w:val="it-IT"/>
        </w:rPr>
        <w:t>public sector workers</w:t>
      </w:r>
      <w:r w:rsidR="008C4736" w:rsidRPr="00766773">
        <w:rPr>
          <w:rFonts w:cstheme="minorBidi"/>
          <w:lang w:val="it-IT"/>
        </w:rPr>
        <w:t xml:space="preserve"> are excluded from </w:t>
      </w:r>
      <w:r w:rsidRPr="00766773">
        <w:rPr>
          <w:rFonts w:cstheme="minorBidi"/>
          <w:lang w:val="it-IT"/>
        </w:rPr>
        <w:t>collective bargaining</w:t>
      </w:r>
      <w:r w:rsidR="00264FC2" w:rsidRPr="00766773">
        <w:rPr>
          <w:rFonts w:cstheme="minorBidi"/>
          <w:lang w:val="it-IT"/>
        </w:rPr>
        <w:t xml:space="preserve">, as well as obstacles to the workings of the sectoral, regional, and municipal tri-partite councils in coordination on matters related to wage setting. </w:t>
      </w:r>
      <w:r w:rsidR="008C4736" w:rsidRPr="00766773">
        <w:rPr>
          <w:rFonts w:cstheme="minorBidi"/>
          <w:lang w:val="it-IT"/>
        </w:rPr>
        <w:t xml:space="preserve"> </w:t>
      </w:r>
      <w:r w:rsidR="00264FC2" w:rsidRPr="00766773">
        <w:rPr>
          <w:rFonts w:cstheme="minorBidi"/>
          <w:lang w:val="it-IT"/>
        </w:rPr>
        <w:t>The</w:t>
      </w:r>
      <w:r w:rsidR="008C4736" w:rsidRPr="00766773">
        <w:rPr>
          <w:rFonts w:cstheme="minorBidi"/>
          <w:lang w:val="it-IT"/>
        </w:rPr>
        <w:t xml:space="preserve">se challenges need to be addressed one by one in the country’s overall strategy to increase bargaining coverage. </w:t>
      </w:r>
    </w:p>
    <w:p w14:paraId="1B03C6E7" w14:textId="4179EC6D" w:rsidR="002B2995" w:rsidRPr="00E64D0C" w:rsidRDefault="00264FC2" w:rsidP="00E64D0C">
      <w:pPr>
        <w:pStyle w:val="Zarkazkladnhotextu"/>
        <w:tabs>
          <w:tab w:val="clear" w:pos="5070"/>
        </w:tabs>
        <w:rPr>
          <w:rFonts w:cstheme="minorBidi"/>
          <w:lang w:val="it-IT"/>
        </w:rPr>
      </w:pPr>
      <w:r w:rsidRPr="00766773">
        <w:rPr>
          <w:rFonts w:cstheme="minorBidi"/>
          <w:lang w:val="it-IT"/>
        </w:rPr>
        <w:t xml:space="preserve">From a survey conducted by the Trade Union Advisory Committee </w:t>
      </w:r>
      <w:r w:rsidR="00C83ECB" w:rsidRPr="00766773">
        <w:rPr>
          <w:rFonts w:cstheme="minorBidi"/>
          <w:lang w:val="it-IT"/>
        </w:rPr>
        <w:t xml:space="preserve">(TUAC) </w:t>
      </w:r>
      <w:r w:rsidRPr="00766773">
        <w:rPr>
          <w:rFonts w:cstheme="minorBidi"/>
          <w:lang w:val="it-IT"/>
        </w:rPr>
        <w:t>to the Organization for Economic Co-operation and De</w:t>
      </w:r>
      <w:r w:rsidRPr="00E64D0C">
        <w:rPr>
          <w:rFonts w:cstheme="minorBidi"/>
          <w:lang w:val="it-IT"/>
        </w:rPr>
        <w:t xml:space="preserve">velopment, recommendations have already been made to </w:t>
      </w:r>
      <w:r w:rsidR="00A61216" w:rsidRPr="00E64D0C">
        <w:rPr>
          <w:rFonts w:cstheme="minorBidi"/>
          <w:lang w:val="it-IT"/>
        </w:rPr>
        <w:t>amend legislation such as the Labour Cod</w:t>
      </w:r>
      <w:r w:rsidR="00E64D0C">
        <w:rPr>
          <w:rFonts w:cstheme="minorBidi"/>
          <w:lang w:val="it-IT"/>
        </w:rPr>
        <w:t>e, Civil Servants Act and other</w:t>
      </w:r>
      <w:r w:rsidR="00A61216" w:rsidRPr="00E64D0C">
        <w:rPr>
          <w:rFonts w:cstheme="minorBidi"/>
          <w:lang w:val="it-IT"/>
        </w:rPr>
        <w:t xml:space="preserve"> to allow collecti</w:t>
      </w:r>
      <w:r w:rsidR="00CE1FAE" w:rsidRPr="00E64D0C">
        <w:rPr>
          <w:rFonts w:cstheme="minorBidi"/>
          <w:lang w:val="it-IT"/>
        </w:rPr>
        <w:t>ve bargaining of civil servants. F</w:t>
      </w:r>
      <w:r w:rsidR="00A61216" w:rsidRPr="00E64D0C">
        <w:rPr>
          <w:rFonts w:cstheme="minorBidi"/>
          <w:lang w:val="it-IT"/>
        </w:rPr>
        <w:t>urther</w:t>
      </w:r>
      <w:r w:rsidR="00F01203" w:rsidRPr="00E64D0C">
        <w:rPr>
          <w:rFonts w:cstheme="minorBidi"/>
          <w:lang w:val="it-IT"/>
        </w:rPr>
        <w:t xml:space="preserve"> steps include</w:t>
      </w:r>
      <w:r w:rsidR="00A61216" w:rsidRPr="00E64D0C">
        <w:rPr>
          <w:rFonts w:cstheme="minorBidi"/>
          <w:lang w:val="it-IT"/>
        </w:rPr>
        <w:t xml:space="preserve"> </w:t>
      </w:r>
      <w:r w:rsidR="00CE1FAE" w:rsidRPr="00E64D0C">
        <w:rPr>
          <w:rFonts w:cstheme="minorBidi"/>
          <w:lang w:val="it-IT"/>
        </w:rPr>
        <w:t>encourag</w:t>
      </w:r>
      <w:r w:rsidR="00F01203" w:rsidRPr="00E64D0C">
        <w:rPr>
          <w:rFonts w:cstheme="minorBidi"/>
          <w:lang w:val="it-IT"/>
        </w:rPr>
        <w:t>ing</w:t>
      </w:r>
      <w:r w:rsidR="00C83ECB" w:rsidRPr="00E64D0C">
        <w:rPr>
          <w:rFonts w:cstheme="minorBidi"/>
          <w:lang w:val="it-IT"/>
        </w:rPr>
        <w:t xml:space="preserve"> the</w:t>
      </w:r>
      <w:r w:rsidR="00CE1FAE" w:rsidRPr="00E64D0C">
        <w:rPr>
          <w:rFonts w:cstheme="minorBidi"/>
          <w:lang w:val="it-IT"/>
        </w:rPr>
        <w:t xml:space="preserve"> </w:t>
      </w:r>
      <w:r w:rsidR="00A61216" w:rsidRPr="00E64D0C">
        <w:rPr>
          <w:rFonts w:cstheme="minorBidi"/>
          <w:lang w:val="it-IT"/>
        </w:rPr>
        <w:t>adoption of measures to ensure effective working of tri-partite bodies and consultations</w:t>
      </w:r>
      <w:r w:rsidR="00F01203" w:rsidRPr="00E64D0C">
        <w:rPr>
          <w:rFonts w:cstheme="minorBidi"/>
          <w:lang w:val="it-IT"/>
        </w:rPr>
        <w:t>,</w:t>
      </w:r>
      <w:r w:rsidR="00A61216" w:rsidRPr="00E64D0C">
        <w:rPr>
          <w:rFonts w:cstheme="minorBidi"/>
          <w:lang w:val="it-IT"/>
        </w:rPr>
        <w:t xml:space="preserve"> for example </w:t>
      </w:r>
      <w:r w:rsidR="00CE1FAE" w:rsidRPr="00E64D0C">
        <w:rPr>
          <w:rFonts w:cstheme="minorBidi"/>
          <w:lang w:val="it-IT"/>
        </w:rPr>
        <w:t xml:space="preserve">by </w:t>
      </w:r>
      <w:r w:rsidR="00A61216" w:rsidRPr="00E64D0C">
        <w:rPr>
          <w:rFonts w:cstheme="minorBidi"/>
          <w:lang w:val="it-IT"/>
        </w:rPr>
        <w:t xml:space="preserve">setting deadlines for </w:t>
      </w:r>
      <w:r w:rsidR="00CE1FAE" w:rsidRPr="00E64D0C">
        <w:rPr>
          <w:rFonts w:cstheme="minorBidi"/>
          <w:lang w:val="it-IT"/>
        </w:rPr>
        <w:t xml:space="preserve">reaching </w:t>
      </w:r>
      <w:r w:rsidR="00A61216" w:rsidRPr="00E64D0C">
        <w:rPr>
          <w:rFonts w:cstheme="minorBidi"/>
          <w:lang w:val="it-IT"/>
        </w:rPr>
        <w:t>agreements, and</w:t>
      </w:r>
      <w:r w:rsidR="00CE1FAE" w:rsidRPr="00E64D0C">
        <w:rPr>
          <w:rFonts w:cstheme="minorBidi"/>
          <w:lang w:val="it-IT"/>
        </w:rPr>
        <w:t xml:space="preserve"> </w:t>
      </w:r>
      <w:r w:rsidR="00F01203" w:rsidRPr="00E64D0C">
        <w:rPr>
          <w:rFonts w:cstheme="minorBidi"/>
          <w:lang w:val="it-IT"/>
        </w:rPr>
        <w:t>allowing</w:t>
      </w:r>
      <w:r w:rsidR="00CE1FAE" w:rsidRPr="00E64D0C">
        <w:rPr>
          <w:rFonts w:cstheme="minorBidi"/>
          <w:lang w:val="it-IT"/>
        </w:rPr>
        <w:t xml:space="preserve"> and encourag</w:t>
      </w:r>
      <w:r w:rsidR="00F01203" w:rsidRPr="00E64D0C">
        <w:rPr>
          <w:rFonts w:cstheme="minorBidi"/>
          <w:lang w:val="it-IT"/>
        </w:rPr>
        <w:t>ing</w:t>
      </w:r>
      <w:r w:rsidR="00CE1FAE" w:rsidRPr="00E64D0C">
        <w:rPr>
          <w:rFonts w:cstheme="minorBidi"/>
          <w:lang w:val="it-IT"/>
        </w:rPr>
        <w:t xml:space="preserve"> the extensions of collective agreements to</w:t>
      </w:r>
      <w:r w:rsidR="00F01203" w:rsidRPr="00E64D0C">
        <w:rPr>
          <w:rFonts w:cstheme="minorBidi"/>
          <w:lang w:val="it-IT"/>
        </w:rPr>
        <w:t xml:space="preserve"> whole</w:t>
      </w:r>
      <w:r w:rsidR="00CE1FAE" w:rsidRPr="00E64D0C">
        <w:rPr>
          <w:rFonts w:cstheme="minorBidi"/>
          <w:lang w:val="it-IT"/>
        </w:rPr>
        <w:t xml:space="preserve"> sectors</w:t>
      </w:r>
      <w:r w:rsidR="00C83ECB" w:rsidRPr="00E64D0C">
        <w:rPr>
          <w:rFonts w:cstheme="minorBidi"/>
          <w:lang w:val="it-IT"/>
        </w:rPr>
        <w:t xml:space="preserve"> (T</w:t>
      </w:r>
      <w:r w:rsidR="00035240" w:rsidRPr="00E64D0C">
        <w:rPr>
          <w:rFonts w:cstheme="minorBidi"/>
          <w:lang w:val="it-IT"/>
        </w:rPr>
        <w:t xml:space="preserve">rade </w:t>
      </w:r>
      <w:r w:rsidR="00C83ECB" w:rsidRPr="00E64D0C">
        <w:rPr>
          <w:rFonts w:cstheme="minorBidi"/>
          <w:lang w:val="it-IT"/>
        </w:rPr>
        <w:t>U</w:t>
      </w:r>
      <w:r w:rsidR="00035240" w:rsidRPr="00E64D0C">
        <w:rPr>
          <w:rFonts w:cstheme="minorBidi"/>
          <w:lang w:val="it-IT"/>
        </w:rPr>
        <w:t xml:space="preserve">nion </w:t>
      </w:r>
      <w:r w:rsidR="00C83ECB" w:rsidRPr="00E64D0C">
        <w:rPr>
          <w:rFonts w:cstheme="minorBidi"/>
          <w:lang w:val="it-IT"/>
        </w:rPr>
        <w:t>A</w:t>
      </w:r>
      <w:r w:rsidR="00035240" w:rsidRPr="00E64D0C">
        <w:rPr>
          <w:rFonts w:cstheme="minorBidi"/>
          <w:lang w:val="it-IT"/>
        </w:rPr>
        <w:t xml:space="preserve">dvisory </w:t>
      </w:r>
      <w:r w:rsidR="00C83ECB" w:rsidRPr="00E64D0C">
        <w:rPr>
          <w:rFonts w:cstheme="minorBidi"/>
          <w:lang w:val="it-IT"/>
        </w:rPr>
        <w:t>C</w:t>
      </w:r>
      <w:r w:rsidR="00035240" w:rsidRPr="00E64D0C">
        <w:rPr>
          <w:rFonts w:cstheme="minorBidi"/>
          <w:lang w:val="it-IT"/>
        </w:rPr>
        <w:t>ommittee,</w:t>
      </w:r>
      <w:r w:rsidR="00C83ECB" w:rsidRPr="00E64D0C">
        <w:rPr>
          <w:rFonts w:cstheme="minorBidi"/>
          <w:lang w:val="it-IT"/>
        </w:rPr>
        <w:t xml:space="preserve"> </w:t>
      </w:r>
      <w:r w:rsidR="00035240" w:rsidRPr="00E64D0C">
        <w:rPr>
          <w:rFonts w:cstheme="minorBidi"/>
          <w:lang w:val="it-IT"/>
        </w:rPr>
        <w:t>2024</w:t>
      </w:r>
      <w:r w:rsidR="002B2995" w:rsidRPr="00E64D0C">
        <w:rPr>
          <w:rFonts w:cstheme="minorBidi"/>
          <w:lang w:val="it-IT"/>
        </w:rPr>
        <w:t>).</w:t>
      </w:r>
    </w:p>
    <w:p w14:paraId="6CE4C22E" w14:textId="7AF240AA" w:rsidR="00264FC2" w:rsidRPr="002B2995" w:rsidRDefault="00C83ECB" w:rsidP="002B2995">
      <w:pPr>
        <w:pStyle w:val="Zarkazkladnhotextu"/>
        <w:tabs>
          <w:tab w:val="clear" w:pos="5070"/>
        </w:tabs>
        <w:rPr>
          <w:rFonts w:cstheme="minorBidi"/>
          <w:szCs w:val="22"/>
          <w:lang w:val="it-IT"/>
        </w:rPr>
      </w:pPr>
      <w:r w:rsidRPr="002B2995">
        <w:t xml:space="preserve">To </w:t>
      </w:r>
      <w:r w:rsidR="00035240" w:rsidRPr="002B2995">
        <w:t>tackle the</w:t>
      </w:r>
      <w:r w:rsidRPr="002B2995">
        <w:t xml:space="preserve"> informal employment and the use of envelope wages in the hospitality and construction sectors, the competencies of labour inspectorates should be strengthened</w:t>
      </w:r>
      <w:r w:rsidR="00035240" w:rsidRPr="002B2995">
        <w:t>, which could</w:t>
      </w:r>
      <w:r w:rsidR="00F01203" w:rsidRPr="002B2995">
        <w:t xml:space="preserve"> </w:t>
      </w:r>
      <w:r w:rsidR="00035240" w:rsidRPr="002B2995">
        <w:t>potentially increase trade union membershi</w:t>
      </w:r>
      <w:r w:rsidR="00F01203" w:rsidRPr="002B2995">
        <w:t xml:space="preserve">p among declared workers and thus the </w:t>
      </w:r>
      <w:r w:rsidR="00035240" w:rsidRPr="002B2995">
        <w:t xml:space="preserve">coverage of collective bargaining. </w:t>
      </w:r>
      <w:r w:rsidR="001F1F71" w:rsidRPr="002B2995">
        <w:t>Finally</w:t>
      </w:r>
      <w:r w:rsidR="00F01203" w:rsidRPr="002B2995">
        <w:t xml:space="preserve">, a shared commitment and </w:t>
      </w:r>
      <w:r w:rsidR="00035240" w:rsidRPr="002B2995">
        <w:t>willingness of all social partners and policy makers to engage</w:t>
      </w:r>
      <w:r w:rsidR="00F01203" w:rsidRPr="002B2995">
        <w:t xml:space="preserve"> in the above steps</w:t>
      </w:r>
      <w:r w:rsidR="00035240" w:rsidRPr="002B2995">
        <w:t xml:space="preserve"> is necessary</w:t>
      </w:r>
      <w:r w:rsidR="00F01203" w:rsidRPr="002B2995">
        <w:t xml:space="preserve"> in order to increase bargaining coverage</w:t>
      </w:r>
      <w:r w:rsidR="00035240" w:rsidRPr="002B2995">
        <w:t xml:space="preserve">. </w:t>
      </w:r>
    </w:p>
    <w:p w14:paraId="159B6AB7" w14:textId="2FFDEEB5" w:rsidR="00DF4318" w:rsidRPr="00203B80" w:rsidRDefault="002B6643" w:rsidP="00755845">
      <w:pPr>
        <w:spacing w:line="360" w:lineRule="auto"/>
        <w:contextualSpacing/>
        <w:jc w:val="both"/>
        <w:rPr>
          <w:rFonts w:cstheme="minorHAnsi"/>
          <w:sz w:val="24"/>
          <w:szCs w:val="24"/>
          <w:lang w:val="en-GB"/>
        </w:rPr>
      </w:pPr>
      <w:r w:rsidRPr="00203B80">
        <w:rPr>
          <w:rFonts w:cstheme="minorHAnsi"/>
          <w:sz w:val="24"/>
          <w:szCs w:val="24"/>
          <w:lang w:val="en-GB"/>
        </w:rPr>
        <w:t xml:space="preserve"> </w:t>
      </w:r>
      <w:r w:rsidR="00DF4318" w:rsidRPr="00203B80">
        <w:rPr>
          <w:rFonts w:cstheme="minorHAnsi"/>
          <w:sz w:val="24"/>
          <w:szCs w:val="24"/>
          <w:lang w:val="en-GB"/>
        </w:rPr>
        <w:br w:type="page"/>
      </w:r>
    </w:p>
    <w:p w14:paraId="0659A136" w14:textId="03E370EC" w:rsidR="000E21AE" w:rsidRPr="00F01203" w:rsidRDefault="00DF4318" w:rsidP="00755845">
      <w:pPr>
        <w:pStyle w:val="Nadpis1"/>
        <w:spacing w:line="480" w:lineRule="auto"/>
        <w:contextualSpacing/>
        <w:jc w:val="both"/>
        <w:rPr>
          <w:rFonts w:cstheme="majorHAnsi"/>
          <w:szCs w:val="24"/>
          <w:lang w:val="en-GB"/>
        </w:rPr>
      </w:pPr>
      <w:bookmarkStart w:id="48" w:name="_Toc174086671"/>
      <w:r w:rsidRPr="00F01203">
        <w:rPr>
          <w:rFonts w:cstheme="majorHAnsi"/>
          <w:szCs w:val="24"/>
          <w:lang w:val="en-GB"/>
        </w:rPr>
        <w:lastRenderedPageBreak/>
        <w:t>References</w:t>
      </w:r>
      <w:bookmarkEnd w:id="48"/>
    </w:p>
    <w:p w14:paraId="4ED17454" w14:textId="65FAA4C7" w:rsidR="006C02C4" w:rsidRPr="00BC52FC" w:rsidRDefault="006C02C4" w:rsidP="00755845">
      <w:pPr>
        <w:spacing w:after="0" w:line="240" w:lineRule="auto"/>
        <w:ind w:left="709" w:hanging="709"/>
        <w:contextualSpacing/>
        <w:jc w:val="both"/>
        <w:rPr>
          <w:rFonts w:cstheme="minorHAnsi"/>
          <w:sz w:val="24"/>
          <w:szCs w:val="24"/>
        </w:rPr>
      </w:pPr>
      <w:proofErr w:type="spellStart"/>
      <w:r w:rsidRPr="00BC52FC">
        <w:rPr>
          <w:rFonts w:cstheme="minorHAnsi"/>
          <w:sz w:val="24"/>
          <w:szCs w:val="24"/>
          <w:lang w:val="en-GB"/>
        </w:rPr>
        <w:t>Eurofound</w:t>
      </w:r>
      <w:proofErr w:type="spellEnd"/>
      <w:r w:rsidRPr="00BC52FC">
        <w:rPr>
          <w:rFonts w:cstheme="minorHAnsi"/>
          <w:sz w:val="24"/>
          <w:szCs w:val="24"/>
          <w:lang w:val="en-GB"/>
        </w:rPr>
        <w:t xml:space="preserve">. (2015). </w:t>
      </w:r>
      <w:r w:rsidRPr="00BC52FC">
        <w:rPr>
          <w:rFonts w:cstheme="minorHAnsi"/>
          <w:i/>
          <w:sz w:val="24"/>
          <w:szCs w:val="24"/>
          <w:lang w:val="en-GB"/>
        </w:rPr>
        <w:t>Representativeness of the European social partner organisations: Construction sector.</w:t>
      </w:r>
      <w:r w:rsidRPr="00BC52FC">
        <w:rPr>
          <w:rFonts w:cstheme="minorHAnsi"/>
          <w:sz w:val="24"/>
          <w:szCs w:val="24"/>
          <w:lang w:val="en-GB"/>
        </w:rPr>
        <w:t xml:space="preserve"> </w:t>
      </w:r>
      <w:hyperlink r:id="rId11" w:history="1">
        <w:r w:rsidRPr="00BC52FC">
          <w:rPr>
            <w:rStyle w:val="Hypertextovprepojenie"/>
            <w:rFonts w:cstheme="minorHAnsi"/>
            <w:sz w:val="24"/>
            <w:szCs w:val="24"/>
          </w:rPr>
          <w:t>https://www.eurofound.europa.eu/en/publications/2015/representativeness-european-social-partner-organisations-construction-sector</w:t>
        </w:r>
      </w:hyperlink>
      <w:r w:rsidR="008C571E" w:rsidRPr="00BC52FC">
        <w:rPr>
          <w:rFonts w:cstheme="minorHAnsi"/>
          <w:sz w:val="24"/>
          <w:szCs w:val="24"/>
        </w:rPr>
        <w:t xml:space="preserve">. </w:t>
      </w:r>
    </w:p>
    <w:p w14:paraId="5468AB5B" w14:textId="2B7B76BB" w:rsidR="003D2CBC" w:rsidRPr="00BC52FC" w:rsidRDefault="003D2CBC" w:rsidP="00755845">
      <w:pPr>
        <w:spacing w:after="0" w:line="240" w:lineRule="auto"/>
        <w:ind w:left="709" w:hanging="709"/>
        <w:contextualSpacing/>
        <w:jc w:val="both"/>
        <w:rPr>
          <w:rFonts w:cstheme="minorHAnsi"/>
          <w:sz w:val="24"/>
          <w:szCs w:val="24"/>
        </w:rPr>
      </w:pPr>
      <w:proofErr w:type="spellStart"/>
      <w:r w:rsidRPr="00BC52FC">
        <w:rPr>
          <w:rFonts w:cstheme="minorHAnsi"/>
          <w:sz w:val="24"/>
          <w:szCs w:val="24"/>
          <w:lang w:val="en-GB"/>
        </w:rPr>
        <w:t>Eurofound</w:t>
      </w:r>
      <w:proofErr w:type="spellEnd"/>
      <w:r w:rsidRPr="00BC52FC">
        <w:rPr>
          <w:rFonts w:cstheme="minorHAnsi"/>
          <w:sz w:val="24"/>
          <w:szCs w:val="24"/>
          <w:lang w:val="en-GB"/>
        </w:rPr>
        <w:t>. (2017</w:t>
      </w:r>
      <w:r w:rsidRPr="00BC52FC">
        <w:rPr>
          <w:rFonts w:cstheme="minorHAnsi"/>
          <w:i/>
          <w:sz w:val="24"/>
          <w:szCs w:val="24"/>
          <w:lang w:val="en-GB"/>
        </w:rPr>
        <w:t xml:space="preserve">). </w:t>
      </w:r>
      <w:r w:rsidR="00DB5AF4" w:rsidRPr="00BC52FC">
        <w:rPr>
          <w:rFonts w:cstheme="minorHAnsi"/>
          <w:i/>
          <w:sz w:val="24"/>
          <w:szCs w:val="24"/>
          <w:lang w:val="en-GB"/>
        </w:rPr>
        <w:t>Representativeness of the European social partner organisations: Railways and urban public transport</w:t>
      </w:r>
      <w:r w:rsidR="00DB5AF4" w:rsidRPr="00BC52FC">
        <w:rPr>
          <w:rFonts w:cstheme="minorHAnsi"/>
          <w:sz w:val="24"/>
          <w:szCs w:val="24"/>
          <w:lang w:val="en-GB"/>
        </w:rPr>
        <w:t xml:space="preserve">. </w:t>
      </w:r>
      <w:hyperlink r:id="rId12" w:history="1">
        <w:r w:rsidR="00DB5AF4" w:rsidRPr="00BC52FC">
          <w:rPr>
            <w:rStyle w:val="Hypertextovprepojenie"/>
            <w:rFonts w:cstheme="minorHAnsi"/>
            <w:sz w:val="24"/>
            <w:szCs w:val="24"/>
          </w:rPr>
          <w:t>https://www.eurofound.europa.eu/en/publications/2017/representativeness-european-social-partner-organisations-railways-and-urban</w:t>
        </w:r>
      </w:hyperlink>
      <w:r w:rsidR="008C571E" w:rsidRPr="00BC52FC">
        <w:rPr>
          <w:rStyle w:val="Hypertextovprepojenie"/>
          <w:rFonts w:cstheme="minorHAnsi"/>
          <w:color w:val="auto"/>
          <w:sz w:val="24"/>
          <w:szCs w:val="24"/>
          <w:u w:val="none"/>
        </w:rPr>
        <w:t>.</w:t>
      </w:r>
      <w:r w:rsidR="00DB5AF4" w:rsidRPr="00BC52FC">
        <w:rPr>
          <w:rFonts w:cstheme="minorHAnsi"/>
          <w:sz w:val="24"/>
          <w:szCs w:val="24"/>
        </w:rPr>
        <w:t xml:space="preserve"> </w:t>
      </w:r>
    </w:p>
    <w:p w14:paraId="4E82B107" w14:textId="5B904646" w:rsidR="002E1B35" w:rsidRPr="00BC52FC" w:rsidRDefault="002E1B35" w:rsidP="00755845">
      <w:pPr>
        <w:spacing w:after="0" w:line="240" w:lineRule="auto"/>
        <w:ind w:left="709" w:hanging="709"/>
        <w:contextualSpacing/>
        <w:jc w:val="both"/>
        <w:rPr>
          <w:rFonts w:cstheme="minorHAnsi"/>
          <w:sz w:val="24"/>
          <w:szCs w:val="24"/>
        </w:rPr>
      </w:pPr>
      <w:proofErr w:type="spellStart"/>
      <w:r w:rsidRPr="00BC52FC">
        <w:rPr>
          <w:rFonts w:cstheme="minorHAnsi"/>
          <w:sz w:val="24"/>
          <w:szCs w:val="24"/>
          <w:lang w:val="en-GB"/>
        </w:rPr>
        <w:t>Eurofound</w:t>
      </w:r>
      <w:proofErr w:type="spellEnd"/>
      <w:r w:rsidRPr="00BC52FC">
        <w:rPr>
          <w:rFonts w:cstheme="minorHAnsi"/>
          <w:sz w:val="24"/>
          <w:szCs w:val="24"/>
          <w:lang w:val="en-GB"/>
        </w:rPr>
        <w:t xml:space="preserve">. (2018). </w:t>
      </w:r>
      <w:r w:rsidRPr="00BC52FC">
        <w:rPr>
          <w:rFonts w:cstheme="minorHAnsi"/>
          <w:i/>
          <w:sz w:val="24"/>
          <w:szCs w:val="24"/>
          <w:lang w:val="en-GB"/>
        </w:rPr>
        <w:t>Representativeness of the European social partner organisations: Hotels, restaurants and café (HORECA) sector.</w:t>
      </w:r>
      <w:r w:rsidRPr="00BC52FC">
        <w:rPr>
          <w:rFonts w:cstheme="minorHAnsi"/>
          <w:sz w:val="24"/>
          <w:szCs w:val="24"/>
          <w:lang w:val="en-GB"/>
        </w:rPr>
        <w:t xml:space="preserve"> </w:t>
      </w:r>
      <w:hyperlink r:id="rId13" w:history="1">
        <w:r w:rsidRPr="00BC52FC">
          <w:rPr>
            <w:rStyle w:val="Hypertextovprepojenie"/>
            <w:rFonts w:cstheme="minorHAnsi"/>
            <w:sz w:val="24"/>
            <w:szCs w:val="24"/>
          </w:rPr>
          <w:t>https://www.eurofound.europa.eu/en/publications/2018/representativeness-european-social-partner-organisations-hotels-restaurants-and</w:t>
        </w:r>
      </w:hyperlink>
      <w:r w:rsidR="008C571E" w:rsidRPr="00BC52FC">
        <w:rPr>
          <w:rFonts w:cstheme="minorHAnsi"/>
          <w:sz w:val="24"/>
          <w:szCs w:val="24"/>
        </w:rPr>
        <w:t>.</w:t>
      </w:r>
    </w:p>
    <w:p w14:paraId="06CE33C3" w14:textId="48E4DF6B" w:rsidR="006C02C4" w:rsidRPr="00BC52FC" w:rsidRDefault="006C02C4" w:rsidP="00755845">
      <w:pPr>
        <w:spacing w:after="0" w:line="240" w:lineRule="auto"/>
        <w:ind w:left="709" w:hanging="709"/>
        <w:contextualSpacing/>
        <w:jc w:val="both"/>
        <w:rPr>
          <w:rFonts w:cstheme="minorHAnsi"/>
          <w:sz w:val="24"/>
          <w:szCs w:val="24"/>
        </w:rPr>
      </w:pPr>
      <w:proofErr w:type="spellStart"/>
      <w:r w:rsidRPr="00BC52FC">
        <w:rPr>
          <w:rFonts w:cstheme="minorHAnsi"/>
          <w:sz w:val="24"/>
          <w:szCs w:val="24"/>
          <w:lang w:val="en-GB"/>
        </w:rPr>
        <w:t>Eurofound</w:t>
      </w:r>
      <w:proofErr w:type="spellEnd"/>
      <w:r w:rsidRPr="00BC52FC">
        <w:rPr>
          <w:rFonts w:cstheme="minorHAnsi"/>
          <w:sz w:val="24"/>
          <w:szCs w:val="24"/>
          <w:lang w:val="en-GB"/>
        </w:rPr>
        <w:t xml:space="preserve">. (2020). </w:t>
      </w:r>
      <w:r w:rsidRPr="00BC52FC">
        <w:rPr>
          <w:rFonts w:cstheme="minorHAnsi"/>
          <w:i/>
          <w:sz w:val="24"/>
          <w:szCs w:val="24"/>
          <w:lang w:val="en-GB"/>
        </w:rPr>
        <w:t>Collective agreements and bargaining coverage in the EU: A mapping of types, regulations and first findings from the European Company Survey 2019.</w:t>
      </w:r>
      <w:r w:rsidRPr="00BC52FC">
        <w:rPr>
          <w:rFonts w:cstheme="minorHAnsi"/>
          <w:sz w:val="24"/>
          <w:szCs w:val="24"/>
          <w:lang w:val="en-GB"/>
        </w:rPr>
        <w:t xml:space="preserve"> </w:t>
      </w:r>
      <w:hyperlink r:id="rId14" w:history="1">
        <w:r w:rsidRPr="00BC52FC">
          <w:rPr>
            <w:rStyle w:val="Hypertextovprepojenie"/>
            <w:rFonts w:cstheme="minorHAnsi"/>
            <w:sz w:val="24"/>
            <w:szCs w:val="24"/>
          </w:rPr>
          <w:t>https://www.eurofound.europa.eu/system/files/2020-10/wpef20022.pdf</w:t>
        </w:r>
      </w:hyperlink>
      <w:r w:rsidR="008C571E" w:rsidRPr="00BC52FC">
        <w:rPr>
          <w:rFonts w:cstheme="minorHAnsi"/>
          <w:sz w:val="24"/>
          <w:szCs w:val="24"/>
        </w:rPr>
        <w:t>.</w:t>
      </w:r>
    </w:p>
    <w:p w14:paraId="2FA467A1" w14:textId="0F5BEC9B" w:rsidR="002E1B35" w:rsidRPr="00BC52FC" w:rsidRDefault="002E1B35" w:rsidP="00755845">
      <w:pPr>
        <w:spacing w:after="0" w:line="240" w:lineRule="auto"/>
        <w:ind w:left="709" w:hanging="709"/>
        <w:contextualSpacing/>
        <w:jc w:val="both"/>
        <w:rPr>
          <w:rFonts w:cstheme="minorHAnsi"/>
          <w:sz w:val="24"/>
          <w:szCs w:val="24"/>
        </w:rPr>
      </w:pPr>
      <w:r w:rsidRPr="00BC52FC">
        <w:rPr>
          <w:rFonts w:cstheme="minorHAnsi"/>
          <w:sz w:val="24"/>
          <w:szCs w:val="24"/>
        </w:rPr>
        <w:t xml:space="preserve">Eurofound. </w:t>
      </w:r>
      <w:r w:rsidRPr="00BC52FC">
        <w:rPr>
          <w:rFonts w:cstheme="minorHAnsi"/>
          <w:sz w:val="24"/>
          <w:szCs w:val="24"/>
          <w:lang w:val="en-GB"/>
        </w:rPr>
        <w:t xml:space="preserve">(2024). </w:t>
      </w:r>
      <w:r w:rsidRPr="00BC52FC">
        <w:rPr>
          <w:rFonts w:cstheme="minorHAnsi"/>
          <w:i/>
          <w:sz w:val="24"/>
          <w:szCs w:val="24"/>
          <w:lang w:val="en-GB"/>
        </w:rPr>
        <w:t xml:space="preserve">Industrial relations and social dialogue. Bulgaria: Metadata for the </w:t>
      </w:r>
      <w:proofErr w:type="spellStart"/>
      <w:r w:rsidRPr="00BC52FC">
        <w:rPr>
          <w:rFonts w:cstheme="minorHAnsi"/>
          <w:i/>
          <w:sz w:val="24"/>
          <w:szCs w:val="24"/>
          <w:lang w:val="en-GB"/>
        </w:rPr>
        <w:t>Eurofound</w:t>
      </w:r>
      <w:proofErr w:type="spellEnd"/>
      <w:r w:rsidRPr="00BC52FC">
        <w:rPr>
          <w:rFonts w:cstheme="minorHAnsi"/>
          <w:i/>
          <w:sz w:val="24"/>
          <w:szCs w:val="24"/>
          <w:lang w:val="en-GB"/>
        </w:rPr>
        <w:t xml:space="preserve"> database of collective agreements for low-paid workers.</w:t>
      </w:r>
      <w:r w:rsidRPr="00BC52FC">
        <w:rPr>
          <w:rFonts w:cstheme="minorHAnsi"/>
          <w:sz w:val="24"/>
          <w:szCs w:val="24"/>
          <w:lang w:val="en-GB"/>
        </w:rPr>
        <w:t xml:space="preserve"> </w:t>
      </w:r>
      <w:hyperlink r:id="rId15" w:history="1">
        <w:r w:rsidRPr="00BC52FC">
          <w:rPr>
            <w:rStyle w:val="Hypertextovprepojenie"/>
            <w:rFonts w:cstheme="minorHAnsi"/>
            <w:sz w:val="24"/>
            <w:szCs w:val="24"/>
          </w:rPr>
          <w:t>https://www.eurofound.europa.eu/en/publications/eurofound-paper/2024/bulgaria-metadata-eurofound-database-collective-agreements-low</w:t>
        </w:r>
      </w:hyperlink>
      <w:r w:rsidR="008C571E" w:rsidRPr="00BC52FC">
        <w:rPr>
          <w:rFonts w:cstheme="minorHAnsi"/>
          <w:sz w:val="24"/>
          <w:szCs w:val="24"/>
        </w:rPr>
        <w:t>.</w:t>
      </w:r>
    </w:p>
    <w:p w14:paraId="51285046" w14:textId="5490BCE4" w:rsidR="00212F0F" w:rsidRPr="00BC52FC" w:rsidRDefault="00212F0F" w:rsidP="00755845">
      <w:pPr>
        <w:spacing w:after="0" w:line="240" w:lineRule="auto"/>
        <w:ind w:left="709" w:hanging="709"/>
        <w:contextualSpacing/>
        <w:jc w:val="both"/>
        <w:rPr>
          <w:rFonts w:cstheme="minorHAnsi"/>
          <w:sz w:val="24"/>
          <w:szCs w:val="24"/>
        </w:rPr>
      </w:pPr>
      <w:r w:rsidRPr="00BC52FC">
        <w:rPr>
          <w:rFonts w:cstheme="minorHAnsi"/>
          <w:sz w:val="24"/>
          <w:szCs w:val="24"/>
          <w:lang w:val="en-GB"/>
        </w:rPr>
        <w:t xml:space="preserve">European Industry Construction Federation. (September 2021). </w:t>
      </w:r>
      <w:r w:rsidRPr="00BC52FC">
        <w:rPr>
          <w:rFonts w:cstheme="minorHAnsi"/>
          <w:i/>
          <w:sz w:val="24"/>
          <w:szCs w:val="24"/>
          <w:lang w:val="en-GB"/>
        </w:rPr>
        <w:t>European Construction Sector Observatory: Country profile Bulgaria</w:t>
      </w:r>
      <w:r w:rsidRPr="00BC52FC">
        <w:rPr>
          <w:rFonts w:cstheme="minorHAnsi"/>
          <w:sz w:val="24"/>
          <w:szCs w:val="24"/>
          <w:lang w:val="en-GB"/>
        </w:rPr>
        <w:t xml:space="preserve">. </w:t>
      </w:r>
      <w:hyperlink r:id="rId16" w:history="1">
        <w:r w:rsidRPr="00BC52FC">
          <w:rPr>
            <w:rStyle w:val="Hypertextovprepojenie"/>
            <w:rFonts w:cstheme="minorHAnsi"/>
            <w:sz w:val="24"/>
            <w:szCs w:val="24"/>
          </w:rPr>
          <w:t>https://single-market-economy.ec.europa.eu/document/download/14ba04a4-6c84-4064-a64e-944dbd81f62b_ro</w:t>
        </w:r>
      </w:hyperlink>
      <w:r w:rsidR="008C571E" w:rsidRPr="00BC52FC">
        <w:rPr>
          <w:rFonts w:cstheme="minorHAnsi"/>
          <w:sz w:val="24"/>
          <w:szCs w:val="24"/>
        </w:rPr>
        <w:t>.</w:t>
      </w:r>
    </w:p>
    <w:p w14:paraId="5DAD130D" w14:textId="4FAB54B6" w:rsidR="00C707C0" w:rsidRPr="00BC52FC" w:rsidRDefault="00C707C0" w:rsidP="00755845">
      <w:pPr>
        <w:spacing w:after="0" w:line="240" w:lineRule="auto"/>
        <w:ind w:left="709" w:hanging="709"/>
        <w:contextualSpacing/>
        <w:jc w:val="both"/>
        <w:rPr>
          <w:rFonts w:cstheme="minorHAnsi"/>
          <w:sz w:val="24"/>
          <w:szCs w:val="24"/>
          <w:lang w:val="en-GB"/>
        </w:rPr>
      </w:pPr>
      <w:r w:rsidRPr="00BC52FC">
        <w:rPr>
          <w:rFonts w:cstheme="minorHAnsi"/>
          <w:sz w:val="24"/>
          <w:szCs w:val="24"/>
          <w:lang w:val="en-GB"/>
        </w:rPr>
        <w:t>Kahancová, M.</w:t>
      </w:r>
      <w:r w:rsidR="00932A22" w:rsidRPr="00BC52FC">
        <w:rPr>
          <w:rFonts w:cstheme="minorHAnsi"/>
          <w:sz w:val="24"/>
          <w:szCs w:val="24"/>
          <w:lang w:val="en-GB"/>
        </w:rPr>
        <w:t>,</w:t>
      </w:r>
      <w:r w:rsidRPr="00BC52FC">
        <w:rPr>
          <w:rFonts w:cstheme="minorHAnsi"/>
          <w:sz w:val="24"/>
          <w:szCs w:val="24"/>
          <w:lang w:val="en-GB"/>
        </w:rPr>
        <w:t xml:space="preserve"> </w:t>
      </w:r>
      <w:r w:rsidR="00932A22" w:rsidRPr="00BC52FC">
        <w:rPr>
          <w:rFonts w:cstheme="minorHAnsi"/>
          <w:sz w:val="24"/>
          <w:szCs w:val="24"/>
          <w:lang w:val="en-GB"/>
        </w:rPr>
        <w:t xml:space="preserve">&amp; </w:t>
      </w:r>
      <w:r w:rsidRPr="00BC52FC">
        <w:rPr>
          <w:rFonts w:cstheme="minorHAnsi"/>
          <w:sz w:val="24"/>
          <w:szCs w:val="24"/>
          <w:lang w:val="en-GB"/>
        </w:rPr>
        <w:t>Kirov, V. (2021) Shaping minimum wages in Central and Eastern Europe: Giving</w:t>
      </w:r>
      <w:r w:rsidRPr="00BC52FC">
        <w:rPr>
          <w:rFonts w:cstheme="minorHAnsi"/>
          <w:spacing w:val="22"/>
          <w:sz w:val="24"/>
          <w:szCs w:val="24"/>
          <w:lang w:val="en-GB"/>
        </w:rPr>
        <w:t xml:space="preserve"> </w:t>
      </w:r>
      <w:r w:rsidRPr="00BC52FC">
        <w:rPr>
          <w:rFonts w:cstheme="minorHAnsi"/>
          <w:sz w:val="24"/>
          <w:szCs w:val="24"/>
          <w:lang w:val="en-GB"/>
        </w:rPr>
        <w:t>up</w:t>
      </w:r>
      <w:r w:rsidRPr="00BC52FC">
        <w:rPr>
          <w:rFonts w:cstheme="minorHAnsi"/>
          <w:spacing w:val="22"/>
          <w:sz w:val="24"/>
          <w:szCs w:val="24"/>
          <w:lang w:val="en-GB"/>
        </w:rPr>
        <w:t xml:space="preserve"> </w:t>
      </w:r>
      <w:r w:rsidRPr="00BC52FC">
        <w:rPr>
          <w:rFonts w:cstheme="minorHAnsi"/>
          <w:sz w:val="24"/>
          <w:szCs w:val="24"/>
          <w:lang w:val="en-GB"/>
        </w:rPr>
        <w:t>collective</w:t>
      </w:r>
      <w:r w:rsidRPr="00BC52FC">
        <w:rPr>
          <w:rFonts w:cstheme="minorHAnsi"/>
          <w:spacing w:val="22"/>
          <w:sz w:val="24"/>
          <w:szCs w:val="24"/>
          <w:lang w:val="en-GB"/>
        </w:rPr>
        <w:t xml:space="preserve"> </w:t>
      </w:r>
      <w:r w:rsidRPr="00BC52FC">
        <w:rPr>
          <w:rFonts w:cstheme="minorHAnsi"/>
          <w:sz w:val="24"/>
          <w:szCs w:val="24"/>
          <w:lang w:val="en-GB"/>
        </w:rPr>
        <w:t>bargaining</w:t>
      </w:r>
      <w:r w:rsidRPr="00BC52FC">
        <w:rPr>
          <w:rFonts w:cstheme="minorHAnsi"/>
          <w:spacing w:val="22"/>
          <w:sz w:val="24"/>
          <w:szCs w:val="24"/>
          <w:lang w:val="en-GB"/>
        </w:rPr>
        <w:t xml:space="preserve"> </w:t>
      </w:r>
      <w:r w:rsidRPr="00BC52FC">
        <w:rPr>
          <w:rFonts w:cstheme="minorHAnsi"/>
          <w:sz w:val="24"/>
          <w:szCs w:val="24"/>
          <w:lang w:val="en-GB"/>
        </w:rPr>
        <w:t>in</w:t>
      </w:r>
      <w:r w:rsidRPr="00BC52FC">
        <w:rPr>
          <w:rFonts w:cstheme="minorHAnsi"/>
          <w:spacing w:val="22"/>
          <w:sz w:val="24"/>
          <w:szCs w:val="24"/>
          <w:lang w:val="en-GB"/>
        </w:rPr>
        <w:t xml:space="preserve"> </w:t>
      </w:r>
      <w:r w:rsidRPr="00BC52FC">
        <w:rPr>
          <w:rFonts w:cstheme="minorHAnsi"/>
          <w:sz w:val="24"/>
          <w:szCs w:val="24"/>
          <w:lang w:val="en-GB"/>
        </w:rPr>
        <w:t>favour</w:t>
      </w:r>
      <w:r w:rsidRPr="00BC52FC">
        <w:rPr>
          <w:rFonts w:cstheme="minorHAnsi"/>
          <w:spacing w:val="20"/>
          <w:sz w:val="24"/>
          <w:szCs w:val="24"/>
          <w:lang w:val="en-GB"/>
        </w:rPr>
        <w:t xml:space="preserve"> </w:t>
      </w:r>
      <w:r w:rsidRPr="00BC52FC">
        <w:rPr>
          <w:rFonts w:cstheme="minorHAnsi"/>
          <w:sz w:val="24"/>
          <w:szCs w:val="24"/>
          <w:lang w:val="en-GB"/>
        </w:rPr>
        <w:t>of</w:t>
      </w:r>
      <w:r w:rsidRPr="00BC52FC">
        <w:rPr>
          <w:rFonts w:cstheme="minorHAnsi"/>
          <w:spacing w:val="18"/>
          <w:sz w:val="24"/>
          <w:szCs w:val="24"/>
          <w:lang w:val="en-GB"/>
        </w:rPr>
        <w:t xml:space="preserve"> </w:t>
      </w:r>
      <w:r w:rsidRPr="00BC52FC">
        <w:rPr>
          <w:rFonts w:cstheme="minorHAnsi"/>
          <w:sz w:val="24"/>
          <w:szCs w:val="24"/>
          <w:lang w:val="en-GB"/>
        </w:rPr>
        <w:t>legal</w:t>
      </w:r>
      <w:r w:rsidRPr="00BC52FC">
        <w:rPr>
          <w:rFonts w:cstheme="minorHAnsi"/>
          <w:spacing w:val="18"/>
          <w:sz w:val="24"/>
          <w:szCs w:val="24"/>
          <w:lang w:val="en-GB"/>
        </w:rPr>
        <w:t xml:space="preserve"> </w:t>
      </w:r>
      <w:r w:rsidRPr="00BC52FC">
        <w:rPr>
          <w:rFonts w:cstheme="minorHAnsi"/>
          <w:sz w:val="24"/>
          <w:szCs w:val="24"/>
          <w:lang w:val="en-GB"/>
        </w:rPr>
        <w:t>regulation?</w:t>
      </w:r>
      <w:r w:rsidRPr="00BC52FC">
        <w:rPr>
          <w:rFonts w:cstheme="minorHAnsi"/>
          <w:spacing w:val="22"/>
          <w:sz w:val="24"/>
          <w:szCs w:val="24"/>
          <w:lang w:val="en-GB"/>
        </w:rPr>
        <w:t xml:space="preserve"> </w:t>
      </w:r>
      <w:r w:rsidRPr="00BC52FC">
        <w:rPr>
          <w:rFonts w:cstheme="minorHAnsi"/>
          <w:sz w:val="24"/>
          <w:szCs w:val="24"/>
          <w:lang w:val="en-GB"/>
        </w:rPr>
        <w:t>In</w:t>
      </w:r>
      <w:r w:rsidRPr="00BC52FC">
        <w:rPr>
          <w:rFonts w:cstheme="minorHAnsi"/>
          <w:spacing w:val="22"/>
          <w:sz w:val="24"/>
          <w:szCs w:val="24"/>
          <w:lang w:val="en-GB"/>
        </w:rPr>
        <w:t xml:space="preserve"> </w:t>
      </w:r>
      <w:proofErr w:type="spellStart"/>
      <w:r w:rsidRPr="00BC52FC">
        <w:rPr>
          <w:rFonts w:cstheme="minorHAnsi"/>
          <w:sz w:val="24"/>
          <w:szCs w:val="24"/>
          <w:lang w:val="en-GB"/>
        </w:rPr>
        <w:t>Dingeldey</w:t>
      </w:r>
      <w:proofErr w:type="spellEnd"/>
      <w:r w:rsidRPr="00BC52FC">
        <w:rPr>
          <w:rFonts w:cstheme="minorHAnsi"/>
          <w:sz w:val="24"/>
          <w:szCs w:val="24"/>
          <w:lang w:val="en-GB"/>
        </w:rPr>
        <w:t>, I.,</w:t>
      </w:r>
      <w:r w:rsidRPr="00BC52FC">
        <w:rPr>
          <w:rFonts w:cstheme="minorHAnsi"/>
          <w:spacing w:val="40"/>
          <w:sz w:val="24"/>
          <w:szCs w:val="24"/>
          <w:lang w:val="en-GB"/>
        </w:rPr>
        <w:t xml:space="preserve"> </w:t>
      </w:r>
      <w:r w:rsidRPr="00BC52FC">
        <w:rPr>
          <w:rFonts w:cstheme="minorHAnsi"/>
          <w:sz w:val="24"/>
          <w:szCs w:val="24"/>
          <w:lang w:val="en-GB"/>
        </w:rPr>
        <w:t>Grimshaw,</w:t>
      </w:r>
      <w:r w:rsidRPr="00BC52FC">
        <w:rPr>
          <w:rFonts w:cstheme="minorHAnsi"/>
          <w:spacing w:val="40"/>
          <w:sz w:val="24"/>
          <w:szCs w:val="24"/>
          <w:lang w:val="en-GB"/>
        </w:rPr>
        <w:t xml:space="preserve"> </w:t>
      </w:r>
      <w:r w:rsidRPr="00BC52FC">
        <w:rPr>
          <w:rFonts w:cstheme="minorHAnsi"/>
          <w:sz w:val="24"/>
          <w:szCs w:val="24"/>
          <w:lang w:val="en-GB"/>
        </w:rPr>
        <w:t>D.</w:t>
      </w:r>
      <w:r w:rsidRPr="00BC52FC">
        <w:rPr>
          <w:rFonts w:cstheme="minorHAnsi"/>
          <w:spacing w:val="40"/>
          <w:sz w:val="24"/>
          <w:szCs w:val="24"/>
          <w:lang w:val="en-GB"/>
        </w:rPr>
        <w:t xml:space="preserve"> </w:t>
      </w:r>
      <w:r w:rsidR="008761AA" w:rsidRPr="00BC52FC">
        <w:rPr>
          <w:rFonts w:cstheme="minorHAnsi"/>
          <w:sz w:val="24"/>
          <w:szCs w:val="24"/>
          <w:lang w:val="en-GB"/>
        </w:rPr>
        <w:t>&amp;</w:t>
      </w:r>
      <w:r w:rsidR="008761AA" w:rsidRPr="00BC52FC">
        <w:rPr>
          <w:rFonts w:cstheme="minorHAnsi"/>
          <w:spacing w:val="40"/>
          <w:sz w:val="24"/>
          <w:szCs w:val="24"/>
          <w:lang w:val="en-GB"/>
        </w:rPr>
        <w:t xml:space="preserve"> </w:t>
      </w:r>
      <w:proofErr w:type="spellStart"/>
      <w:r w:rsidRPr="00BC52FC">
        <w:rPr>
          <w:rFonts w:cstheme="minorHAnsi"/>
          <w:sz w:val="24"/>
          <w:szCs w:val="24"/>
          <w:lang w:val="en-GB"/>
        </w:rPr>
        <w:t>Schulten</w:t>
      </w:r>
      <w:proofErr w:type="spellEnd"/>
      <w:r w:rsidRPr="00BC52FC">
        <w:rPr>
          <w:rFonts w:cstheme="minorHAnsi"/>
          <w:sz w:val="24"/>
          <w:szCs w:val="24"/>
          <w:lang w:val="en-GB"/>
        </w:rPr>
        <w:t>,</w:t>
      </w:r>
      <w:r w:rsidRPr="00BC52FC">
        <w:rPr>
          <w:rFonts w:cstheme="minorHAnsi"/>
          <w:spacing w:val="40"/>
          <w:sz w:val="24"/>
          <w:szCs w:val="24"/>
          <w:lang w:val="en-GB"/>
        </w:rPr>
        <w:t xml:space="preserve"> </w:t>
      </w:r>
      <w:proofErr w:type="gramStart"/>
      <w:r w:rsidRPr="00BC52FC">
        <w:rPr>
          <w:rFonts w:cstheme="minorHAnsi"/>
          <w:sz w:val="24"/>
          <w:szCs w:val="24"/>
          <w:lang w:val="en-GB"/>
        </w:rPr>
        <w:t>T</w:t>
      </w:r>
      <w:proofErr w:type="gramEnd"/>
      <w:r w:rsidRPr="00BC52FC">
        <w:rPr>
          <w:rFonts w:cstheme="minorHAnsi"/>
          <w:sz w:val="24"/>
          <w:szCs w:val="24"/>
          <w:lang w:val="en-GB"/>
        </w:rPr>
        <w:t>.</w:t>
      </w:r>
      <w:r w:rsidRPr="00BC52FC">
        <w:rPr>
          <w:rFonts w:cstheme="minorHAnsi"/>
          <w:spacing w:val="40"/>
          <w:sz w:val="24"/>
          <w:szCs w:val="24"/>
          <w:lang w:val="en-GB"/>
        </w:rPr>
        <w:t xml:space="preserve"> </w:t>
      </w:r>
      <w:r w:rsidRPr="00BC52FC">
        <w:rPr>
          <w:rFonts w:cstheme="minorHAnsi"/>
          <w:sz w:val="24"/>
          <w:szCs w:val="24"/>
          <w:lang w:val="en-GB"/>
        </w:rPr>
        <w:t>(eds.)</w:t>
      </w:r>
      <w:r w:rsidRPr="00BC52FC">
        <w:rPr>
          <w:rFonts w:cstheme="minorHAnsi"/>
          <w:spacing w:val="40"/>
          <w:sz w:val="24"/>
          <w:szCs w:val="24"/>
          <w:lang w:val="en-GB"/>
        </w:rPr>
        <w:t xml:space="preserve"> </w:t>
      </w:r>
      <w:r w:rsidRPr="00BC52FC">
        <w:rPr>
          <w:rFonts w:cstheme="minorHAnsi"/>
          <w:i/>
          <w:sz w:val="24"/>
          <w:szCs w:val="24"/>
          <w:lang w:val="en-GB"/>
        </w:rPr>
        <w:t>Minimum</w:t>
      </w:r>
      <w:r w:rsidRPr="00BC52FC">
        <w:rPr>
          <w:rFonts w:cstheme="minorHAnsi"/>
          <w:i/>
          <w:spacing w:val="40"/>
          <w:sz w:val="24"/>
          <w:szCs w:val="24"/>
          <w:lang w:val="en-GB"/>
        </w:rPr>
        <w:t xml:space="preserve"> </w:t>
      </w:r>
      <w:r w:rsidRPr="00BC52FC">
        <w:rPr>
          <w:rFonts w:cstheme="minorHAnsi"/>
          <w:i/>
          <w:sz w:val="24"/>
          <w:szCs w:val="24"/>
          <w:lang w:val="en-GB"/>
        </w:rPr>
        <w:t>Wage</w:t>
      </w:r>
      <w:r w:rsidRPr="00BC52FC">
        <w:rPr>
          <w:rFonts w:cstheme="minorHAnsi"/>
          <w:i/>
          <w:spacing w:val="40"/>
          <w:sz w:val="24"/>
          <w:szCs w:val="24"/>
          <w:lang w:val="en-GB"/>
        </w:rPr>
        <w:t xml:space="preserve"> </w:t>
      </w:r>
      <w:r w:rsidRPr="00BC52FC">
        <w:rPr>
          <w:rFonts w:cstheme="minorHAnsi"/>
          <w:i/>
          <w:sz w:val="24"/>
          <w:szCs w:val="24"/>
          <w:lang w:val="en-GB"/>
        </w:rPr>
        <w:t>Regimes: Statutory</w:t>
      </w:r>
      <w:r w:rsidRPr="00BC52FC">
        <w:rPr>
          <w:rFonts w:cstheme="minorHAnsi"/>
          <w:i/>
          <w:spacing w:val="40"/>
          <w:sz w:val="24"/>
          <w:szCs w:val="24"/>
          <w:lang w:val="en-GB"/>
        </w:rPr>
        <w:t xml:space="preserve"> </w:t>
      </w:r>
      <w:r w:rsidRPr="00BC52FC">
        <w:rPr>
          <w:rFonts w:cstheme="minorHAnsi"/>
          <w:i/>
          <w:sz w:val="24"/>
          <w:szCs w:val="24"/>
          <w:lang w:val="en-GB"/>
        </w:rPr>
        <w:t>Regulation,</w:t>
      </w:r>
      <w:r w:rsidRPr="00BC52FC">
        <w:rPr>
          <w:rFonts w:cstheme="minorHAnsi"/>
          <w:i/>
          <w:spacing w:val="40"/>
          <w:sz w:val="24"/>
          <w:szCs w:val="24"/>
          <w:lang w:val="en-GB"/>
        </w:rPr>
        <w:t xml:space="preserve"> </w:t>
      </w:r>
      <w:r w:rsidRPr="00BC52FC">
        <w:rPr>
          <w:rFonts w:cstheme="minorHAnsi"/>
          <w:i/>
          <w:sz w:val="24"/>
          <w:szCs w:val="24"/>
          <w:lang w:val="en-GB"/>
        </w:rPr>
        <w:t>Collective</w:t>
      </w:r>
      <w:r w:rsidRPr="00BC52FC">
        <w:rPr>
          <w:rFonts w:cstheme="minorHAnsi"/>
          <w:i/>
          <w:spacing w:val="40"/>
          <w:sz w:val="24"/>
          <w:szCs w:val="24"/>
          <w:lang w:val="en-GB"/>
        </w:rPr>
        <w:t xml:space="preserve"> </w:t>
      </w:r>
      <w:r w:rsidRPr="00BC52FC">
        <w:rPr>
          <w:rFonts w:cstheme="minorHAnsi"/>
          <w:i/>
          <w:sz w:val="24"/>
          <w:szCs w:val="24"/>
          <w:lang w:val="en-GB"/>
        </w:rPr>
        <w:t>Bargaining</w:t>
      </w:r>
      <w:r w:rsidRPr="00BC52FC">
        <w:rPr>
          <w:rFonts w:cstheme="minorHAnsi"/>
          <w:i/>
          <w:spacing w:val="40"/>
          <w:sz w:val="24"/>
          <w:szCs w:val="24"/>
          <w:lang w:val="en-GB"/>
        </w:rPr>
        <w:t xml:space="preserve"> </w:t>
      </w:r>
      <w:r w:rsidRPr="00BC52FC">
        <w:rPr>
          <w:rFonts w:cstheme="minorHAnsi"/>
          <w:i/>
          <w:sz w:val="24"/>
          <w:szCs w:val="24"/>
          <w:lang w:val="en-GB"/>
        </w:rPr>
        <w:t>and</w:t>
      </w:r>
      <w:r w:rsidRPr="00BC52FC">
        <w:rPr>
          <w:rFonts w:cstheme="minorHAnsi"/>
          <w:i/>
          <w:spacing w:val="40"/>
          <w:sz w:val="24"/>
          <w:szCs w:val="24"/>
          <w:lang w:val="en-GB"/>
        </w:rPr>
        <w:t xml:space="preserve"> </w:t>
      </w:r>
      <w:r w:rsidRPr="00BC52FC">
        <w:rPr>
          <w:rFonts w:cstheme="minorHAnsi"/>
          <w:i/>
          <w:sz w:val="24"/>
          <w:szCs w:val="24"/>
          <w:lang w:val="en-GB"/>
        </w:rPr>
        <w:t>Adequate</w:t>
      </w:r>
      <w:r w:rsidRPr="00BC52FC">
        <w:rPr>
          <w:rFonts w:cstheme="minorHAnsi"/>
          <w:i/>
          <w:spacing w:val="40"/>
          <w:sz w:val="24"/>
          <w:szCs w:val="24"/>
          <w:lang w:val="en-GB"/>
        </w:rPr>
        <w:t xml:space="preserve"> </w:t>
      </w:r>
      <w:r w:rsidRPr="00BC52FC">
        <w:rPr>
          <w:rFonts w:cstheme="minorHAnsi"/>
          <w:i/>
          <w:sz w:val="24"/>
          <w:szCs w:val="24"/>
          <w:lang w:val="en-GB"/>
        </w:rPr>
        <w:t>Levels</w:t>
      </w:r>
      <w:r w:rsidRPr="00BC52FC">
        <w:rPr>
          <w:rFonts w:cstheme="minorHAnsi"/>
          <w:sz w:val="24"/>
          <w:szCs w:val="24"/>
          <w:lang w:val="en-GB"/>
        </w:rPr>
        <w:t xml:space="preserve">. </w:t>
      </w:r>
      <w:r w:rsidRPr="00BC52FC">
        <w:rPr>
          <w:rFonts w:cstheme="minorHAnsi"/>
          <w:spacing w:val="-2"/>
          <w:sz w:val="24"/>
          <w:szCs w:val="24"/>
          <w:lang w:val="en-GB"/>
        </w:rPr>
        <w:t>Routledge</w:t>
      </w:r>
      <w:r w:rsidR="00C9724F" w:rsidRPr="00BC52FC">
        <w:rPr>
          <w:rFonts w:cstheme="minorHAnsi"/>
          <w:sz w:val="24"/>
          <w:szCs w:val="24"/>
          <w:lang w:val="en-GB"/>
        </w:rPr>
        <w:t xml:space="preserve">. </w:t>
      </w:r>
    </w:p>
    <w:p w14:paraId="129C5D88" w14:textId="7ADDBACE" w:rsidR="00DF4318" w:rsidRPr="00BC52FC" w:rsidRDefault="00407167" w:rsidP="00755845">
      <w:pPr>
        <w:spacing w:after="0" w:line="240" w:lineRule="auto"/>
        <w:ind w:left="709" w:hanging="709"/>
        <w:contextualSpacing/>
        <w:jc w:val="both"/>
        <w:rPr>
          <w:rFonts w:cstheme="minorHAnsi"/>
          <w:sz w:val="24"/>
          <w:szCs w:val="24"/>
        </w:rPr>
      </w:pPr>
      <w:r w:rsidRPr="00BC52FC">
        <w:rPr>
          <w:rFonts w:cstheme="minorHAnsi"/>
          <w:sz w:val="24"/>
          <w:szCs w:val="24"/>
          <w:lang w:val="en-GB"/>
        </w:rPr>
        <w:t>Kirov, V</w:t>
      </w:r>
      <w:r w:rsidR="002456A9" w:rsidRPr="00BC52FC">
        <w:rPr>
          <w:rFonts w:cstheme="minorHAnsi"/>
          <w:sz w:val="24"/>
          <w:szCs w:val="24"/>
          <w:lang w:val="en-GB"/>
        </w:rPr>
        <w:t xml:space="preserve">. </w:t>
      </w:r>
      <w:r w:rsidR="00C707C0" w:rsidRPr="00BC52FC">
        <w:rPr>
          <w:rFonts w:cstheme="minorHAnsi"/>
          <w:sz w:val="24"/>
          <w:szCs w:val="24"/>
          <w:lang w:val="en-GB"/>
        </w:rPr>
        <w:t xml:space="preserve">(2019) </w:t>
      </w:r>
      <w:r w:rsidR="002456A9" w:rsidRPr="00BC52FC">
        <w:rPr>
          <w:rFonts w:cstheme="minorHAnsi"/>
          <w:i/>
          <w:sz w:val="24"/>
          <w:szCs w:val="24"/>
          <w:lang w:val="en-GB"/>
        </w:rPr>
        <w:t>Bulgaria: collective bargaining eroding, but still existing</w:t>
      </w:r>
      <w:r w:rsidR="002456A9" w:rsidRPr="00BC52FC">
        <w:rPr>
          <w:rFonts w:cstheme="minorHAnsi"/>
          <w:sz w:val="24"/>
          <w:szCs w:val="24"/>
          <w:lang w:val="en-GB"/>
        </w:rPr>
        <w:t xml:space="preserve">. </w:t>
      </w:r>
      <w:r w:rsidR="001302EF" w:rsidRPr="00BC52FC">
        <w:rPr>
          <w:rFonts w:cstheme="minorHAnsi"/>
          <w:sz w:val="24"/>
          <w:szCs w:val="24"/>
          <w:lang w:val="en-GB"/>
        </w:rPr>
        <w:t>In Collective Bargaining in Europe</w:t>
      </w:r>
      <w:r w:rsidR="00EC2A51" w:rsidRPr="00BC52FC">
        <w:rPr>
          <w:rFonts w:cstheme="minorHAnsi"/>
          <w:sz w:val="24"/>
          <w:szCs w:val="24"/>
          <w:lang w:val="en-GB"/>
        </w:rPr>
        <w:t>: towards an endgame</w:t>
      </w:r>
      <w:r w:rsidR="001302EF" w:rsidRPr="00BC52FC">
        <w:rPr>
          <w:rFonts w:cstheme="minorHAnsi"/>
          <w:sz w:val="24"/>
          <w:szCs w:val="24"/>
          <w:lang w:val="en-GB"/>
        </w:rPr>
        <w:t>, edited</w:t>
      </w:r>
      <w:r w:rsidR="00EC2A51" w:rsidRPr="00BC52FC">
        <w:rPr>
          <w:rFonts w:cstheme="minorHAnsi"/>
          <w:sz w:val="24"/>
          <w:szCs w:val="24"/>
          <w:lang w:val="en-GB"/>
        </w:rPr>
        <w:t xml:space="preserve"> by Müller, T., K. </w:t>
      </w:r>
      <w:proofErr w:type="spellStart"/>
      <w:r w:rsidR="00EC2A51" w:rsidRPr="00BC52FC">
        <w:rPr>
          <w:rFonts w:cstheme="minorHAnsi"/>
          <w:sz w:val="24"/>
          <w:szCs w:val="24"/>
          <w:lang w:val="en-GB"/>
        </w:rPr>
        <w:t>Vandaele</w:t>
      </w:r>
      <w:proofErr w:type="spellEnd"/>
      <w:r w:rsidR="00EC2A51" w:rsidRPr="00BC52FC">
        <w:rPr>
          <w:rFonts w:cstheme="minorHAnsi"/>
          <w:sz w:val="24"/>
          <w:szCs w:val="24"/>
          <w:lang w:val="en-GB"/>
        </w:rPr>
        <w:t xml:space="preserve"> </w:t>
      </w:r>
      <w:r w:rsidR="008761AA" w:rsidRPr="00BC52FC">
        <w:rPr>
          <w:rFonts w:cstheme="minorHAnsi"/>
          <w:sz w:val="24"/>
          <w:szCs w:val="24"/>
          <w:lang w:val="en-GB"/>
        </w:rPr>
        <w:t xml:space="preserve">&amp; </w:t>
      </w:r>
      <w:r w:rsidR="00EC2A51" w:rsidRPr="00BC52FC">
        <w:rPr>
          <w:rFonts w:cstheme="minorHAnsi"/>
          <w:sz w:val="24"/>
          <w:szCs w:val="24"/>
          <w:lang w:val="en-GB"/>
        </w:rPr>
        <w:t>J</w:t>
      </w:r>
      <w:r w:rsidR="001066E9" w:rsidRPr="00BC52FC">
        <w:rPr>
          <w:rFonts w:cstheme="minorHAnsi"/>
          <w:sz w:val="24"/>
          <w:szCs w:val="24"/>
          <w:lang w:val="en-GB"/>
        </w:rPr>
        <w:t>.</w:t>
      </w:r>
      <w:r w:rsidR="00EC2A51" w:rsidRPr="00BC52FC">
        <w:rPr>
          <w:rFonts w:cstheme="minorHAnsi"/>
          <w:sz w:val="24"/>
          <w:szCs w:val="24"/>
          <w:lang w:val="en-GB"/>
        </w:rPr>
        <w:t xml:space="preserve"> Waddington.  </w:t>
      </w:r>
      <w:hyperlink r:id="rId17" w:history="1">
        <w:r w:rsidR="002456A9" w:rsidRPr="00BC52FC">
          <w:rPr>
            <w:rStyle w:val="Hypertextovprepojenie"/>
            <w:rFonts w:cstheme="minorHAnsi"/>
            <w:sz w:val="24"/>
            <w:szCs w:val="24"/>
          </w:rPr>
          <w:t>https://www.etui.org/sites/default/files/ez_import/CB1-Chapitre+4.pdf</w:t>
        </w:r>
      </w:hyperlink>
      <w:r w:rsidR="008C571E" w:rsidRPr="00BC52FC">
        <w:rPr>
          <w:rFonts w:cstheme="minorHAnsi"/>
          <w:sz w:val="24"/>
          <w:szCs w:val="24"/>
        </w:rPr>
        <w:t>.</w:t>
      </w:r>
    </w:p>
    <w:p w14:paraId="13BCE48E" w14:textId="2754783C" w:rsidR="00407167" w:rsidRPr="00BC52FC" w:rsidRDefault="00407167" w:rsidP="00755845">
      <w:pPr>
        <w:spacing w:after="0" w:line="240" w:lineRule="auto"/>
        <w:ind w:left="709" w:hanging="709"/>
        <w:contextualSpacing/>
        <w:jc w:val="both"/>
        <w:rPr>
          <w:rFonts w:cstheme="minorHAnsi"/>
          <w:sz w:val="24"/>
          <w:szCs w:val="24"/>
        </w:rPr>
      </w:pPr>
      <w:r w:rsidRPr="00BC52FC">
        <w:rPr>
          <w:rFonts w:cstheme="minorHAnsi"/>
          <w:sz w:val="24"/>
          <w:szCs w:val="24"/>
          <w:lang w:val="en-GB"/>
        </w:rPr>
        <w:t xml:space="preserve">Nikolov, A., </w:t>
      </w:r>
      <w:r w:rsidR="00932A22" w:rsidRPr="00BC52FC">
        <w:rPr>
          <w:rFonts w:cstheme="minorHAnsi"/>
          <w:sz w:val="24"/>
          <w:szCs w:val="24"/>
          <w:lang w:val="en-GB"/>
        </w:rPr>
        <w:t xml:space="preserve">&amp; </w:t>
      </w:r>
      <w:r w:rsidRPr="00BC52FC">
        <w:rPr>
          <w:rFonts w:cstheme="minorHAnsi"/>
          <w:sz w:val="24"/>
          <w:szCs w:val="24"/>
          <w:lang w:val="en-GB"/>
        </w:rPr>
        <w:t xml:space="preserve">IME. (January 4, 2024). </w:t>
      </w:r>
      <w:r w:rsidRPr="00BC52FC">
        <w:rPr>
          <w:rFonts w:cstheme="minorHAnsi"/>
          <w:i/>
          <w:sz w:val="24"/>
          <w:szCs w:val="24"/>
          <w:lang w:val="en-GB"/>
        </w:rPr>
        <w:t>Bulgaria’s New Minimum Wage Mechanism Needs Urgent Repair</w:t>
      </w:r>
      <w:r w:rsidRPr="00BC52FC">
        <w:rPr>
          <w:rFonts w:cstheme="minorHAnsi"/>
          <w:sz w:val="24"/>
          <w:szCs w:val="24"/>
          <w:lang w:val="en-GB"/>
        </w:rPr>
        <w:t xml:space="preserve">. 4 Liberty.eu. </w:t>
      </w:r>
      <w:hyperlink r:id="rId18" w:history="1">
        <w:r w:rsidRPr="00BC52FC">
          <w:rPr>
            <w:rStyle w:val="Hypertextovprepojenie"/>
            <w:rFonts w:cstheme="minorHAnsi"/>
            <w:sz w:val="24"/>
            <w:szCs w:val="24"/>
          </w:rPr>
          <w:t>https://4liberty.eu/bulgarias-new-minimum-wage-mechanism-needs-urgent-repair/</w:t>
        </w:r>
      </w:hyperlink>
      <w:r w:rsidR="008C571E" w:rsidRPr="00BC52FC">
        <w:rPr>
          <w:rFonts w:cstheme="minorHAnsi"/>
          <w:sz w:val="24"/>
          <w:szCs w:val="24"/>
        </w:rPr>
        <w:t>.</w:t>
      </w:r>
    </w:p>
    <w:p w14:paraId="134F1ED3" w14:textId="6E9551F6" w:rsidR="003843DA" w:rsidRPr="00BC52FC" w:rsidRDefault="003843DA" w:rsidP="00755845">
      <w:pPr>
        <w:spacing w:after="0" w:line="240" w:lineRule="auto"/>
        <w:ind w:left="709" w:hanging="709"/>
        <w:contextualSpacing/>
        <w:jc w:val="both"/>
        <w:rPr>
          <w:rFonts w:cstheme="minorHAnsi"/>
          <w:sz w:val="24"/>
          <w:szCs w:val="24"/>
          <w:lang w:val="en-GB"/>
        </w:rPr>
      </w:pPr>
      <w:proofErr w:type="spellStart"/>
      <w:r w:rsidRPr="00BC52FC">
        <w:rPr>
          <w:rFonts w:cstheme="minorHAnsi"/>
          <w:sz w:val="24"/>
          <w:szCs w:val="24"/>
          <w:lang w:val="en-GB"/>
        </w:rPr>
        <w:t>Sardadvar</w:t>
      </w:r>
      <w:proofErr w:type="spellEnd"/>
      <w:r w:rsidRPr="00BC52FC">
        <w:rPr>
          <w:rFonts w:cstheme="minorHAnsi"/>
          <w:sz w:val="24"/>
          <w:szCs w:val="24"/>
          <w:lang w:val="en-GB"/>
        </w:rPr>
        <w:t>, K.,</w:t>
      </w:r>
      <w:r w:rsidR="001066E9" w:rsidRPr="00BC52FC">
        <w:rPr>
          <w:rFonts w:cstheme="minorHAnsi"/>
          <w:sz w:val="24"/>
          <w:szCs w:val="24"/>
          <w:lang w:val="en-GB"/>
        </w:rPr>
        <w:t xml:space="preserve"> </w:t>
      </w:r>
      <w:proofErr w:type="spellStart"/>
      <w:r w:rsidR="001066E9" w:rsidRPr="00BC52FC">
        <w:rPr>
          <w:rFonts w:cstheme="minorHAnsi"/>
          <w:sz w:val="24"/>
          <w:szCs w:val="24"/>
          <w:lang w:val="en-GB"/>
        </w:rPr>
        <w:t>Kümmerling</w:t>
      </w:r>
      <w:proofErr w:type="spellEnd"/>
      <w:r w:rsidR="001066E9" w:rsidRPr="00BC52FC">
        <w:rPr>
          <w:rFonts w:cstheme="minorHAnsi"/>
          <w:sz w:val="24"/>
          <w:szCs w:val="24"/>
          <w:lang w:val="en-GB"/>
        </w:rPr>
        <w:t xml:space="preserve">, </w:t>
      </w:r>
      <w:r w:rsidR="00932A22" w:rsidRPr="00BC52FC">
        <w:rPr>
          <w:rFonts w:cstheme="minorHAnsi"/>
          <w:sz w:val="24"/>
          <w:szCs w:val="24"/>
          <w:lang w:val="en-GB"/>
        </w:rPr>
        <w:t>A., &amp;</w:t>
      </w:r>
      <w:r w:rsidR="008761AA" w:rsidRPr="00BC52FC">
        <w:rPr>
          <w:rFonts w:cstheme="minorHAnsi"/>
          <w:sz w:val="24"/>
          <w:szCs w:val="24"/>
          <w:lang w:val="en-GB"/>
        </w:rPr>
        <w:t xml:space="preserve"> </w:t>
      </w:r>
      <w:proofErr w:type="spellStart"/>
      <w:r w:rsidR="001066E9" w:rsidRPr="00BC52FC">
        <w:rPr>
          <w:rFonts w:cstheme="minorHAnsi"/>
          <w:sz w:val="24"/>
          <w:szCs w:val="24"/>
          <w:lang w:val="en-GB"/>
        </w:rPr>
        <w:t>Peycheva</w:t>
      </w:r>
      <w:proofErr w:type="spellEnd"/>
      <w:r w:rsidR="00932A22" w:rsidRPr="00BC52FC">
        <w:rPr>
          <w:rFonts w:cstheme="minorHAnsi"/>
          <w:sz w:val="24"/>
          <w:szCs w:val="24"/>
          <w:lang w:val="en-GB"/>
        </w:rPr>
        <w:t>, D</w:t>
      </w:r>
      <w:r w:rsidR="001066E9" w:rsidRPr="00BC52FC">
        <w:rPr>
          <w:rFonts w:cstheme="minorHAnsi"/>
          <w:sz w:val="24"/>
          <w:szCs w:val="24"/>
          <w:lang w:val="en-GB"/>
        </w:rPr>
        <w:t xml:space="preserve">. (2015). </w:t>
      </w:r>
      <w:r w:rsidR="001066E9" w:rsidRPr="00BC52FC">
        <w:rPr>
          <w:rFonts w:cstheme="minorHAnsi"/>
          <w:i/>
          <w:sz w:val="24"/>
          <w:szCs w:val="24"/>
          <w:lang w:val="en-GB"/>
        </w:rPr>
        <w:t>Gender-Typing of Low-Wage Work: A Comparative Analysis of Commercial Cleaning in Austria, Domiciliary Elderly Care in Germany and the Waste Sector in Bulgaria.</w:t>
      </w:r>
      <w:r w:rsidR="001066E9" w:rsidRPr="00BC52FC">
        <w:rPr>
          <w:rFonts w:cstheme="minorHAnsi"/>
          <w:sz w:val="24"/>
          <w:szCs w:val="24"/>
          <w:lang w:val="en-GB"/>
        </w:rPr>
        <w:t xml:space="preserve"> In Hard Work in New Jobs, edited by </w:t>
      </w:r>
      <w:proofErr w:type="spellStart"/>
      <w:r w:rsidR="001066E9" w:rsidRPr="00BC52FC">
        <w:rPr>
          <w:rFonts w:cstheme="minorHAnsi"/>
          <w:sz w:val="24"/>
          <w:szCs w:val="24"/>
          <w:lang w:val="en-GB"/>
        </w:rPr>
        <w:t>Holtgrewe</w:t>
      </w:r>
      <w:proofErr w:type="spellEnd"/>
      <w:r w:rsidR="001066E9" w:rsidRPr="00BC52FC">
        <w:rPr>
          <w:rFonts w:cstheme="minorHAnsi"/>
          <w:sz w:val="24"/>
          <w:szCs w:val="24"/>
          <w:lang w:val="en-GB"/>
        </w:rPr>
        <w:t xml:space="preserve">, U., V. Kirov, </w:t>
      </w:r>
      <w:r w:rsidR="008761AA" w:rsidRPr="00BC52FC">
        <w:rPr>
          <w:rFonts w:cstheme="minorHAnsi"/>
          <w:sz w:val="24"/>
          <w:szCs w:val="24"/>
          <w:lang w:val="en-GB"/>
        </w:rPr>
        <w:t xml:space="preserve">&amp; </w:t>
      </w:r>
      <w:r w:rsidR="001066E9" w:rsidRPr="00BC52FC">
        <w:rPr>
          <w:rFonts w:cstheme="minorHAnsi"/>
          <w:sz w:val="24"/>
          <w:szCs w:val="24"/>
          <w:lang w:val="en-GB"/>
        </w:rPr>
        <w:t xml:space="preserve">M. </w:t>
      </w:r>
      <w:proofErr w:type="spellStart"/>
      <w:r w:rsidR="001066E9" w:rsidRPr="00BC52FC">
        <w:rPr>
          <w:rFonts w:cstheme="minorHAnsi"/>
          <w:sz w:val="24"/>
          <w:szCs w:val="24"/>
          <w:lang w:val="en-GB"/>
        </w:rPr>
        <w:t>Ramioul</w:t>
      </w:r>
      <w:proofErr w:type="spellEnd"/>
      <w:r w:rsidR="001066E9" w:rsidRPr="00BC52FC">
        <w:rPr>
          <w:rFonts w:cstheme="minorHAnsi"/>
          <w:sz w:val="24"/>
          <w:szCs w:val="24"/>
          <w:lang w:val="en-GB"/>
        </w:rPr>
        <w:t xml:space="preserve">. Palgrave Macmillan. </w:t>
      </w:r>
      <w:hyperlink r:id="rId19" w:history="1">
        <w:r w:rsidR="001066E9" w:rsidRPr="00BC52FC">
          <w:rPr>
            <w:rStyle w:val="Hypertextovprepojenie"/>
            <w:rFonts w:cstheme="minorHAnsi"/>
            <w:sz w:val="24"/>
            <w:szCs w:val="24"/>
            <w:lang w:val="en-GB"/>
          </w:rPr>
          <w:t>https://link.springer.com/book/10.1057/9781137461087</w:t>
        </w:r>
      </w:hyperlink>
      <w:r w:rsidR="008C571E" w:rsidRPr="00BC52FC">
        <w:rPr>
          <w:rFonts w:cstheme="minorHAnsi"/>
          <w:sz w:val="24"/>
          <w:szCs w:val="24"/>
          <w:lang w:val="en-GB"/>
        </w:rPr>
        <w:t>.</w:t>
      </w:r>
    </w:p>
    <w:p w14:paraId="35D0EB05" w14:textId="3DC37B83" w:rsidR="00035240" w:rsidRPr="00BC52FC" w:rsidRDefault="00035240" w:rsidP="00755845">
      <w:pPr>
        <w:spacing w:after="0" w:line="240" w:lineRule="auto"/>
        <w:ind w:left="709" w:hanging="709"/>
        <w:contextualSpacing/>
        <w:jc w:val="both"/>
        <w:rPr>
          <w:rFonts w:cstheme="minorHAnsi"/>
          <w:sz w:val="24"/>
          <w:szCs w:val="24"/>
          <w:lang w:val="sk-SK"/>
        </w:rPr>
      </w:pPr>
      <w:r w:rsidRPr="00BC52FC">
        <w:rPr>
          <w:rFonts w:cstheme="minorHAnsi"/>
          <w:sz w:val="24"/>
          <w:szCs w:val="24"/>
          <w:lang w:val="en-GB"/>
        </w:rPr>
        <w:t xml:space="preserve">Trade Union Advisory Committee. (2024). </w:t>
      </w:r>
      <w:r w:rsidRPr="00BC52FC">
        <w:rPr>
          <w:rFonts w:cstheme="minorHAnsi"/>
          <w:i/>
          <w:sz w:val="24"/>
          <w:szCs w:val="24"/>
          <w:lang w:val="en-GB"/>
        </w:rPr>
        <w:t>Bulgaria Accession Report</w:t>
      </w:r>
      <w:r w:rsidRPr="00BC52FC">
        <w:rPr>
          <w:rFonts w:cstheme="minorHAnsi"/>
          <w:sz w:val="24"/>
          <w:szCs w:val="24"/>
          <w:lang w:val="en-GB"/>
        </w:rPr>
        <w:t xml:space="preserve">. </w:t>
      </w:r>
      <w:hyperlink r:id="rId20" w:history="1">
        <w:r w:rsidR="005A364B" w:rsidRPr="00BC52FC">
          <w:rPr>
            <w:rStyle w:val="Hypertextovprepojenie"/>
            <w:rFonts w:cstheme="minorHAnsi"/>
            <w:sz w:val="24"/>
            <w:szCs w:val="24"/>
            <w:lang w:val="en-GB"/>
          </w:rPr>
          <w:t>https://tuac.org/wp-content/uploads/2024/06/Bulgaria-Accession-Report.pdf</w:t>
        </w:r>
      </w:hyperlink>
      <w:r w:rsidR="008C571E" w:rsidRPr="00BC52FC">
        <w:rPr>
          <w:rFonts w:cstheme="minorHAnsi"/>
          <w:sz w:val="24"/>
          <w:szCs w:val="24"/>
          <w:lang w:val="en-GB"/>
        </w:rPr>
        <w:t>.</w:t>
      </w:r>
    </w:p>
    <w:p w14:paraId="5098CD43" w14:textId="71764519" w:rsidR="00516A81" w:rsidRPr="00BC52FC" w:rsidRDefault="00516A81" w:rsidP="00755845">
      <w:pPr>
        <w:spacing w:after="0" w:line="240" w:lineRule="auto"/>
        <w:ind w:left="709" w:hanging="709"/>
        <w:contextualSpacing/>
        <w:jc w:val="both"/>
        <w:rPr>
          <w:rFonts w:cstheme="minorHAnsi"/>
          <w:sz w:val="24"/>
          <w:szCs w:val="24"/>
        </w:rPr>
      </w:pPr>
      <w:r w:rsidRPr="00BC52FC">
        <w:rPr>
          <w:rFonts w:cstheme="minorHAnsi"/>
          <w:sz w:val="24"/>
          <w:szCs w:val="24"/>
          <w:lang w:val="en-GB"/>
        </w:rPr>
        <w:t>Visser, J. (2019</w:t>
      </w:r>
      <w:r w:rsidRPr="00BC52FC">
        <w:rPr>
          <w:rFonts w:cstheme="minorHAnsi"/>
          <w:i/>
          <w:sz w:val="24"/>
          <w:szCs w:val="24"/>
          <w:lang w:val="en-GB"/>
        </w:rPr>
        <w:t xml:space="preserve">). ICTWSS Data base. </w:t>
      </w:r>
      <w:proofErr w:type="gramStart"/>
      <w:r w:rsidRPr="00BC52FC">
        <w:rPr>
          <w:rFonts w:cstheme="minorHAnsi"/>
          <w:i/>
          <w:sz w:val="24"/>
          <w:szCs w:val="24"/>
          <w:lang w:val="en-GB"/>
        </w:rPr>
        <w:t>version</w:t>
      </w:r>
      <w:proofErr w:type="gramEnd"/>
      <w:r w:rsidRPr="00BC52FC">
        <w:rPr>
          <w:rFonts w:cstheme="minorHAnsi"/>
          <w:i/>
          <w:sz w:val="24"/>
          <w:szCs w:val="24"/>
          <w:lang w:val="en-GB"/>
        </w:rPr>
        <w:t xml:space="preserve"> 6.1. </w:t>
      </w:r>
      <w:r w:rsidRPr="00BC52FC">
        <w:rPr>
          <w:rFonts w:cstheme="minorHAnsi"/>
          <w:sz w:val="24"/>
          <w:szCs w:val="24"/>
          <w:lang w:val="en-GB"/>
        </w:rPr>
        <w:t xml:space="preserve">Amsterdam: Amsterdam Institute for Advanced Labour Studies AIAS. </w:t>
      </w:r>
      <w:hyperlink r:id="rId21" w:history="1">
        <w:r w:rsidRPr="00BC52FC">
          <w:rPr>
            <w:rStyle w:val="Hypertextovprepojenie"/>
            <w:rFonts w:cstheme="minorHAnsi"/>
            <w:sz w:val="24"/>
            <w:szCs w:val="24"/>
          </w:rPr>
          <w:t>https://aias.s3.eu-central-1.amazonaws.com/website/uploads/ICTWSS_6_1_Dataset.xlsx</w:t>
        </w:r>
      </w:hyperlink>
      <w:r w:rsidR="008C571E" w:rsidRPr="00BC52FC">
        <w:rPr>
          <w:rFonts w:cstheme="minorHAnsi"/>
          <w:sz w:val="24"/>
          <w:szCs w:val="24"/>
        </w:rPr>
        <w:t>.</w:t>
      </w:r>
    </w:p>
    <w:p w14:paraId="6504030F" w14:textId="77777777" w:rsidR="00332624" w:rsidRPr="001F1F71" w:rsidRDefault="00332624" w:rsidP="00755845">
      <w:pPr>
        <w:tabs>
          <w:tab w:val="left" w:pos="5070"/>
        </w:tabs>
        <w:spacing w:line="480" w:lineRule="auto"/>
        <w:contextualSpacing/>
        <w:jc w:val="both"/>
        <w:rPr>
          <w:rFonts w:ascii="Times New Roman" w:hAnsi="Times New Roman" w:cs="Times New Roman"/>
          <w:sz w:val="24"/>
          <w:szCs w:val="24"/>
        </w:rPr>
      </w:pPr>
    </w:p>
    <w:sectPr w:rsidR="00332624" w:rsidRPr="001F1F71">
      <w:headerReference w:type="default" r:id="rId22"/>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8C60A" w14:textId="77777777" w:rsidR="008F4AD7" w:rsidRDefault="008F4AD7" w:rsidP="00B06224">
      <w:pPr>
        <w:spacing w:after="0" w:line="240" w:lineRule="auto"/>
      </w:pPr>
      <w:r>
        <w:separator/>
      </w:r>
    </w:p>
  </w:endnote>
  <w:endnote w:type="continuationSeparator" w:id="0">
    <w:p w14:paraId="312D200D" w14:textId="77777777" w:rsidR="008F4AD7" w:rsidRDefault="008F4AD7" w:rsidP="00B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Source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Pr>
      <w:id w:val="1964682791"/>
      <w:docPartObj>
        <w:docPartGallery w:val="Page Numbers (Bottom of Page)"/>
        <w:docPartUnique/>
      </w:docPartObj>
    </w:sdtPr>
    <w:sdtEndPr>
      <w:rPr>
        <w:rStyle w:val="slostrany"/>
      </w:rPr>
    </w:sdtEndPr>
    <w:sdtContent>
      <w:p w14:paraId="1F23CD50" w14:textId="75F87366" w:rsidR="00693FDA" w:rsidRDefault="00693FDA" w:rsidP="000D5DB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CE4C343" w14:textId="77777777" w:rsidR="00693FDA" w:rsidRDefault="00693FDA" w:rsidP="000238B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Pr>
      <w:id w:val="938804290"/>
      <w:docPartObj>
        <w:docPartGallery w:val="Page Numbers (Bottom of Page)"/>
        <w:docPartUnique/>
      </w:docPartObj>
    </w:sdtPr>
    <w:sdtEndPr>
      <w:rPr>
        <w:rStyle w:val="slostrany"/>
      </w:rPr>
    </w:sdtEndPr>
    <w:sdtContent>
      <w:p w14:paraId="36B695E5" w14:textId="0FF5BC50" w:rsidR="00693FDA" w:rsidRDefault="00693FDA" w:rsidP="000D5DB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2F7CB1">
          <w:rPr>
            <w:rStyle w:val="slostrany"/>
            <w:noProof/>
          </w:rPr>
          <w:t>21</w:t>
        </w:r>
        <w:r>
          <w:rPr>
            <w:rStyle w:val="slostrany"/>
          </w:rPr>
          <w:fldChar w:fldCharType="end"/>
        </w:r>
      </w:p>
    </w:sdtContent>
  </w:sdt>
  <w:p w14:paraId="0FD698F5" w14:textId="77777777" w:rsidR="00693FDA" w:rsidRDefault="00693FDA" w:rsidP="000238B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A7F3E" w14:textId="77777777" w:rsidR="008F4AD7" w:rsidRDefault="008F4AD7" w:rsidP="00B06224">
      <w:pPr>
        <w:spacing w:after="0" w:line="240" w:lineRule="auto"/>
      </w:pPr>
      <w:r>
        <w:separator/>
      </w:r>
    </w:p>
  </w:footnote>
  <w:footnote w:type="continuationSeparator" w:id="0">
    <w:p w14:paraId="6A554F5B" w14:textId="77777777" w:rsidR="008F4AD7" w:rsidRDefault="008F4AD7" w:rsidP="00B06224">
      <w:pPr>
        <w:spacing w:after="0" w:line="240" w:lineRule="auto"/>
      </w:pPr>
      <w:r>
        <w:continuationSeparator/>
      </w:r>
    </w:p>
  </w:footnote>
  <w:footnote w:id="1">
    <w:p w14:paraId="3348214C" w14:textId="771EC880" w:rsidR="00693FDA" w:rsidRPr="00941BEF" w:rsidRDefault="00693FDA">
      <w:pPr>
        <w:pStyle w:val="Textpoznmkypodiarou"/>
      </w:pPr>
      <w:r>
        <w:rPr>
          <w:rStyle w:val="Odkaznapoznmkupodiarou"/>
        </w:rPr>
        <w:footnoteRef/>
      </w:r>
      <w:r>
        <w:t xml:space="preserve"> Contact: Central European Labour Studies Institute, Zvolensk</w:t>
      </w:r>
      <w:r>
        <w:rPr>
          <w:lang w:val="sk-SK"/>
        </w:rPr>
        <w:t xml:space="preserve">á 29, 821 09 Bratislava, Slovakia. </w:t>
      </w:r>
      <w:r>
        <w:t xml:space="preserve"> </w:t>
      </w:r>
      <w:hyperlink r:id="rId1" w:history="1">
        <w:r w:rsidRPr="006C41E5">
          <w:rPr>
            <w:rStyle w:val="Hypertextovprepojenie"/>
          </w:rPr>
          <w:t>kristina.gotthardova@celsi.sk</w:t>
        </w:r>
      </w:hyperlink>
      <w:r>
        <w:t xml:space="preserve">, </w:t>
      </w:r>
      <w:hyperlink r:id="rId2" w:history="1">
        <w:r w:rsidRPr="006C41E5">
          <w:rPr>
            <w:rStyle w:val="Hypertextovprepojenie"/>
          </w:rPr>
          <w:t>marta.kahancova@celsi.sk</w:t>
        </w:r>
      </w:hyperlink>
      <w:r>
        <w:t xml:space="preserve">. </w:t>
      </w:r>
    </w:p>
  </w:footnote>
  <w:footnote w:id="2">
    <w:p w14:paraId="3841BEC4" w14:textId="78365837" w:rsidR="00693FDA" w:rsidRPr="000238BD" w:rsidRDefault="00693FDA">
      <w:pPr>
        <w:pStyle w:val="Textpoznmkypodiarou"/>
        <w:rPr>
          <w:lang w:val="en-US"/>
        </w:rPr>
      </w:pPr>
      <w:r w:rsidRPr="008761AA">
        <w:rPr>
          <w:rStyle w:val="Odkaznapoznmkupodiarou"/>
        </w:rPr>
        <w:footnoteRef/>
      </w:r>
      <w:r w:rsidRPr="008761AA">
        <w:t xml:space="preserve"> </w:t>
      </w:r>
      <w:r w:rsidRPr="00EB6A71">
        <w:t>BARWAGE – The importance of collective bargaining for wage setting in the European Union</w:t>
      </w:r>
      <w:r>
        <w:t xml:space="preserve">, funded by </w:t>
      </w:r>
      <w:r w:rsidRPr="00EB6A71">
        <w:t xml:space="preserve">European Commission. Directorate-General for Employment. Social Affairs and Inclusion </w:t>
      </w:r>
      <w:r>
        <w:t>–</w:t>
      </w:r>
      <w:r w:rsidRPr="00EB6A71">
        <w:t xml:space="preserve"> 101052319</w:t>
      </w:r>
      <w:r>
        <w:t>.</w:t>
      </w:r>
    </w:p>
  </w:footnote>
  <w:footnote w:id="3">
    <w:p w14:paraId="2933D661" w14:textId="77777777" w:rsidR="00693FDA" w:rsidRPr="00956C93" w:rsidRDefault="00693FDA" w:rsidP="00192F2A">
      <w:pPr>
        <w:pStyle w:val="Textpoznmkypodiarou"/>
        <w:rPr>
          <w:lang w:val="en-US"/>
        </w:rPr>
      </w:pPr>
      <w:r>
        <w:rPr>
          <w:rStyle w:val="Odkaznapoznmkupodiarou"/>
        </w:rPr>
        <w:footnoteRef/>
      </w:r>
      <w:r>
        <w:t xml:space="preserve"> </w:t>
      </w:r>
      <w:hyperlink r:id="rId3" w:history="1">
        <w:r w:rsidRPr="00D260A5">
          <w:rPr>
            <w:rStyle w:val="Hypertextovprepojenie"/>
          </w:rPr>
          <w:t>https://economy-finance.ec.europa.eu/economic-surveillance-eu-economies/bulgaria/economic-forecast-bulgaria_en</w:t>
        </w:r>
      </w:hyperlink>
      <w:r>
        <w:t xml:space="preserve"> </w:t>
      </w:r>
    </w:p>
  </w:footnote>
  <w:footnote w:id="4">
    <w:p w14:paraId="246B70D4" w14:textId="77777777" w:rsidR="00693FDA" w:rsidRPr="00CA2DA5" w:rsidRDefault="00693FDA" w:rsidP="00192F2A">
      <w:pPr>
        <w:pStyle w:val="Textpoznmkypodiarou"/>
        <w:rPr>
          <w:lang w:val="en-US"/>
        </w:rPr>
      </w:pPr>
      <w:r>
        <w:rPr>
          <w:rStyle w:val="Odkaznapoznmkupodiarou"/>
        </w:rPr>
        <w:footnoteRef/>
      </w:r>
      <w:r>
        <w:t xml:space="preserve"> </w:t>
      </w:r>
      <w:hyperlink r:id="rId4" w:history="1">
        <w:r w:rsidRPr="00D260A5">
          <w:rPr>
            <w:rStyle w:val="Hypertextovprepojenie"/>
          </w:rPr>
          <w:t>https://www.worldbank.org/en/country/bulgaria/overview</w:t>
        </w:r>
      </w:hyperlink>
      <w:r>
        <w:t xml:space="preserve"> </w:t>
      </w:r>
    </w:p>
  </w:footnote>
  <w:footnote w:id="5">
    <w:p w14:paraId="79CD3018" w14:textId="77777777" w:rsidR="00693FDA" w:rsidRPr="00B06224" w:rsidRDefault="00693FDA" w:rsidP="004C7221">
      <w:pPr>
        <w:pStyle w:val="Textpoznmkypodiarou"/>
        <w:rPr>
          <w:lang w:val="en-US"/>
        </w:rPr>
      </w:pPr>
      <w:r>
        <w:rPr>
          <w:rStyle w:val="Odkaznapoznmkupodiarou"/>
        </w:rPr>
        <w:footnoteRef/>
      </w:r>
      <w:r>
        <w:t xml:space="preserve"> </w:t>
      </w:r>
      <w:r w:rsidRPr="00B06224">
        <w:t>https://www.nsi.bg/en/content/3928/total</w:t>
      </w:r>
    </w:p>
  </w:footnote>
  <w:footnote w:id="6">
    <w:p w14:paraId="4FBAFFDB" w14:textId="77777777" w:rsidR="00693FDA" w:rsidRPr="00B06224" w:rsidRDefault="00693FDA" w:rsidP="004C7221">
      <w:pPr>
        <w:pStyle w:val="Textpoznmkypodiarou"/>
        <w:rPr>
          <w:lang w:val="en-US"/>
        </w:rPr>
      </w:pPr>
      <w:r>
        <w:rPr>
          <w:rStyle w:val="Odkaznapoznmkupodiarou"/>
        </w:rPr>
        <w:footnoteRef/>
      </w:r>
      <w:r>
        <w:t xml:space="preserve"> </w:t>
      </w:r>
      <w:r w:rsidRPr="00B06224">
        <w:t>https://bnr.bg/en/post/101921155/average-salary-in-bulgaria-reaches-102258-eur</w:t>
      </w:r>
    </w:p>
  </w:footnote>
  <w:footnote w:id="7">
    <w:p w14:paraId="53F64734" w14:textId="77777777" w:rsidR="00693FDA" w:rsidRPr="00E051D3" w:rsidRDefault="00693FDA" w:rsidP="004C7221">
      <w:pPr>
        <w:pStyle w:val="Textpoznmkypodiarou"/>
        <w:rPr>
          <w:lang w:val="en-US"/>
        </w:rPr>
      </w:pPr>
      <w:r>
        <w:rPr>
          <w:rStyle w:val="Odkaznapoznmkupodiarou"/>
        </w:rPr>
        <w:footnoteRef/>
      </w:r>
      <w:r>
        <w:t xml:space="preserve"> </w:t>
      </w:r>
      <w:r w:rsidRPr="00E051D3">
        <w:t>https://databankfiles.worldbank.org/public/ddpext_download/poverty/987B9C90-CB9F-4D93-AE8C-750588BF00QA/current/Global_POVEQ_BGR.pdf</w:t>
      </w:r>
    </w:p>
  </w:footnote>
  <w:footnote w:id="8">
    <w:p w14:paraId="2A167D25" w14:textId="77777777" w:rsidR="00693FDA" w:rsidRPr="0052119C" w:rsidRDefault="00693FDA" w:rsidP="004C7221">
      <w:pPr>
        <w:pStyle w:val="Textpoznmkypodiarou"/>
        <w:rPr>
          <w:lang w:val="en-US"/>
        </w:rPr>
      </w:pPr>
      <w:r>
        <w:rPr>
          <w:rStyle w:val="Odkaznapoznmkupodiarou"/>
        </w:rPr>
        <w:footnoteRef/>
      </w:r>
      <w:r>
        <w:t xml:space="preserve"> </w:t>
      </w:r>
      <w:r w:rsidRPr="0052119C">
        <w:t>https://databankfiles.worldbank.org/public/ddpext_download/poverty/987B9C90-CB9F-4D93-AE8C-750588BF00QA/current/Global_POVEQ_BGR.pdf</w:t>
      </w:r>
    </w:p>
  </w:footnote>
  <w:footnote w:id="9">
    <w:p w14:paraId="3BCBB375" w14:textId="77777777" w:rsidR="00693FDA" w:rsidRPr="00E051D3" w:rsidRDefault="00693FDA" w:rsidP="004C7221">
      <w:pPr>
        <w:pStyle w:val="Textpoznmkypodiarou"/>
        <w:rPr>
          <w:lang w:val="en-US"/>
        </w:rPr>
      </w:pPr>
      <w:r>
        <w:rPr>
          <w:rStyle w:val="Odkaznapoznmkupodiarou"/>
        </w:rPr>
        <w:footnoteRef/>
      </w:r>
      <w:r>
        <w:t xml:space="preserve"> </w:t>
      </w:r>
      <w:r w:rsidRPr="0052119C">
        <w:t>https://databankfiles.worldbank.org/public/ddpext_download/poverty/987B9C90-CB9F-4D93-AE8C-750588BF00QA/current/Global_POVEQ_BGR.pdf</w:t>
      </w:r>
    </w:p>
  </w:footnote>
  <w:footnote w:id="10">
    <w:p w14:paraId="7BBA2DB0" w14:textId="47635EF9" w:rsidR="00693FDA" w:rsidRPr="00F01203" w:rsidRDefault="00693FDA">
      <w:pPr>
        <w:pStyle w:val="Textpoznmkypodiarou"/>
        <w:rPr>
          <w:lang w:val="en-US"/>
        </w:rPr>
      </w:pPr>
      <w:r>
        <w:rPr>
          <w:rStyle w:val="Odkaznapoznmkupodiarou"/>
        </w:rPr>
        <w:footnoteRef/>
      </w:r>
      <w:r>
        <w:t xml:space="preserve"> </w:t>
      </w:r>
      <w:hyperlink r:id="rId5" w:history="1">
        <w:r w:rsidRPr="00D260A5">
          <w:rPr>
            <w:rStyle w:val="Hypertextovprepojenie"/>
          </w:rPr>
          <w:t>https://seenews.com/news/bulgarias-hourly-labour-costs-rise-16-percent-yy-in-q1-1259458</w:t>
        </w:r>
      </w:hyperlink>
      <w:r>
        <w:t xml:space="preserve"> </w:t>
      </w:r>
    </w:p>
  </w:footnote>
  <w:footnote w:id="11">
    <w:p w14:paraId="1F978FBD" w14:textId="38B6DDA4" w:rsidR="00666988" w:rsidRPr="00666988" w:rsidRDefault="00666988">
      <w:pPr>
        <w:pStyle w:val="Textpoznmkypodiarou"/>
        <w:rPr>
          <w:lang w:val="sk-SK"/>
        </w:rPr>
      </w:pPr>
      <w:r>
        <w:rPr>
          <w:rStyle w:val="Odkaznapoznmkupodiarou"/>
        </w:rPr>
        <w:footnoteRef/>
      </w:r>
      <w:r>
        <w:t xml:space="preserve"> European Central Bank, HICP – Overall index, Bulgaria, Monthly, available at: </w:t>
      </w:r>
      <w:hyperlink r:id="rId6" w:history="1">
        <w:r w:rsidRPr="00E253EC">
          <w:rPr>
            <w:rStyle w:val="Hypertextovprepojenie"/>
          </w:rPr>
          <w:t>https://shorturl.at/NMOPb</w:t>
        </w:r>
      </w:hyperlink>
      <w:r>
        <w:t xml:space="preserve"> </w:t>
      </w:r>
    </w:p>
  </w:footnote>
  <w:footnote w:id="12">
    <w:p w14:paraId="10B06021" w14:textId="77777777" w:rsidR="00693FDA" w:rsidRPr="00212F0F" w:rsidRDefault="00693FDA" w:rsidP="004C7221">
      <w:pPr>
        <w:pStyle w:val="Textpoznmkypodiarou"/>
        <w:rPr>
          <w:lang w:val="sk-SK"/>
        </w:rPr>
      </w:pPr>
      <w:r>
        <w:rPr>
          <w:rStyle w:val="Odkaznapoznmkupodiarou"/>
        </w:rPr>
        <w:footnoteRef/>
      </w:r>
      <w:r>
        <w:t xml:space="preserve"> </w:t>
      </w:r>
      <w:hyperlink r:id="rId7" w:history="1">
        <w:r w:rsidRPr="00D33A10">
          <w:rPr>
            <w:rStyle w:val="Hypertextovprepojenie"/>
          </w:rPr>
          <w:t>https://www.eurofound.europa.eu/en/resources/article/2023/minimum-wage-hikes-struggle-offset-inflation</w:t>
        </w:r>
      </w:hyperlink>
      <w:r>
        <w:t xml:space="preserve"> </w:t>
      </w:r>
    </w:p>
  </w:footnote>
  <w:footnote w:id="13">
    <w:p w14:paraId="574C65DF" w14:textId="77777777" w:rsidR="00693FDA" w:rsidRPr="000238BD" w:rsidRDefault="00693FDA" w:rsidP="004C7221">
      <w:pPr>
        <w:pStyle w:val="Textpoznmkypodiarou"/>
        <w:rPr>
          <w:lang w:val="sk-SK"/>
        </w:rPr>
      </w:pPr>
      <w:r>
        <w:rPr>
          <w:rStyle w:val="Odkaznapoznmkupodiarou"/>
        </w:rPr>
        <w:footnoteRef/>
      </w:r>
      <w:r>
        <w:t xml:space="preserve"> </w:t>
      </w:r>
      <w:r w:rsidRPr="00375FD3">
        <w:t>https://www.oecd.org/employment/collective-bargaining-database-Bulgaria.pdf</w:t>
      </w:r>
    </w:p>
  </w:footnote>
  <w:footnote w:id="14">
    <w:p w14:paraId="3AECBDA5" w14:textId="77777777" w:rsidR="00693FDA" w:rsidRPr="00F01203" w:rsidRDefault="00693FDA">
      <w:pPr>
        <w:pStyle w:val="Textpoznmkypodiarou"/>
        <w:rPr>
          <w:lang w:val="sk-SK"/>
        </w:rPr>
      </w:pPr>
      <w:r>
        <w:rPr>
          <w:rStyle w:val="Odkaznapoznmkupodiarou"/>
        </w:rPr>
        <w:footnoteRef/>
      </w:r>
      <w:r>
        <w:t xml:space="preserve"> </w:t>
      </w:r>
      <w:r w:rsidRPr="00736E17">
        <w:t>https://www.worker-participation.eu/national-industrial-relations/countries/bulgaria</w:t>
      </w:r>
    </w:p>
  </w:footnote>
  <w:footnote w:id="15">
    <w:p w14:paraId="2734343E" w14:textId="77777777" w:rsidR="00693FDA" w:rsidRPr="00F01203" w:rsidRDefault="00693FDA" w:rsidP="00736E17">
      <w:pPr>
        <w:pStyle w:val="Textpoznmkypodiarou"/>
        <w:rPr>
          <w:rFonts w:cstheme="minorHAnsi"/>
          <w:lang w:val="sk-SK"/>
        </w:rPr>
      </w:pPr>
      <w:r w:rsidRPr="00736E17">
        <w:rPr>
          <w:rStyle w:val="Odkaznapoznmkupodiarou"/>
          <w:rFonts w:cstheme="minorHAnsi"/>
        </w:rPr>
        <w:footnoteRef/>
      </w:r>
      <w:r w:rsidRPr="00736E17">
        <w:rPr>
          <w:rFonts w:cstheme="minorHAnsi"/>
        </w:rPr>
        <w:t xml:space="preserve"> </w:t>
      </w:r>
      <w:hyperlink r:id="rId8" w:history="1">
        <w:r w:rsidRPr="00F01203">
          <w:rPr>
            <w:rStyle w:val="Hypertextovprepojenie"/>
            <w:rFonts w:cstheme="minorHAnsi"/>
            <w:u w:val="none"/>
            <w:lang w:val="sk-SK"/>
          </w:rPr>
          <w:t>https://www.nsi.bg/sites/default/files/files/publications/Strzapl2018.pdf</w:t>
        </w:r>
      </w:hyperlink>
    </w:p>
  </w:footnote>
  <w:footnote w:id="16">
    <w:p w14:paraId="2EFFE094" w14:textId="77777777" w:rsidR="00693FDA" w:rsidRPr="008F5087" w:rsidRDefault="00693FDA">
      <w:pPr>
        <w:pStyle w:val="Textpoznmkypodiarou"/>
        <w:rPr>
          <w:lang w:val="sk-SK"/>
        </w:rPr>
      </w:pPr>
      <w:r>
        <w:rPr>
          <w:rStyle w:val="Odkaznapoznmkupodiarou"/>
        </w:rPr>
        <w:footnoteRef/>
      </w:r>
      <w:r>
        <w:t xml:space="preserve"> </w:t>
      </w:r>
      <w:hyperlink r:id="rId9" w:history="1">
        <w:r w:rsidRPr="00D33A10">
          <w:rPr>
            <w:rStyle w:val="Hypertextovprepojenie"/>
          </w:rPr>
          <w:t>https://lex.bg/laws/ldoc/1594373121</w:t>
        </w:r>
      </w:hyperlink>
      <w:r>
        <w:t xml:space="preserve"> </w:t>
      </w:r>
    </w:p>
  </w:footnote>
  <w:footnote w:id="17">
    <w:p w14:paraId="168C5297" w14:textId="77777777" w:rsidR="00CB6023" w:rsidRPr="00212F0F" w:rsidRDefault="00CB6023" w:rsidP="00CB6023">
      <w:pPr>
        <w:pStyle w:val="Textpoznmkypodiarou"/>
      </w:pPr>
      <w:r>
        <w:rPr>
          <w:rStyle w:val="Odkaznapoznmkupodiarou"/>
        </w:rPr>
        <w:footnoteRef/>
      </w:r>
      <w:r>
        <w:t xml:space="preserve"> </w:t>
      </w:r>
      <w:hyperlink r:id="rId10" w:history="1">
        <w:r w:rsidRPr="00D33A10">
          <w:rPr>
            <w:rStyle w:val="Hypertextovprepojenie"/>
          </w:rPr>
          <w:t>https://wageindicator.org/labour-laws/labour-law-around-the-world/minimum-wages-regulations/minimum-wages-regulations-bulgaria</w:t>
        </w:r>
      </w:hyperlink>
      <w:r>
        <w:t xml:space="preserve"> </w:t>
      </w:r>
    </w:p>
  </w:footnote>
  <w:footnote w:id="18">
    <w:p w14:paraId="76E3AEF2" w14:textId="77777777" w:rsidR="007B04C8" w:rsidRPr="00DF4318" w:rsidRDefault="007B04C8" w:rsidP="007B04C8">
      <w:pPr>
        <w:pStyle w:val="Textpoznmkypodiarou"/>
        <w:rPr>
          <w:lang w:val="en-US"/>
        </w:rPr>
      </w:pPr>
      <w:r>
        <w:rPr>
          <w:rStyle w:val="Odkaznapoznmkupodiarou"/>
        </w:rPr>
        <w:footnoteRef/>
      </w:r>
      <w:r>
        <w:t xml:space="preserve"> </w:t>
      </w:r>
      <w:r>
        <w:t>D</w:t>
      </w:r>
      <w:proofErr w:type="spellStart"/>
      <w:r>
        <w:rPr>
          <w:lang w:val="en-US"/>
        </w:rPr>
        <w:t>etailed</w:t>
      </w:r>
      <w:proofErr w:type="spellEnd"/>
      <w:r>
        <w:rPr>
          <w:lang w:val="en-US"/>
        </w:rPr>
        <w:t xml:space="preserve"> methodological note on minimum wage setting mechanisms, OECD/AIAS ICTWSS DATABASE,</w:t>
      </w:r>
    </w:p>
    <w:p w14:paraId="17BB5E3F" w14:textId="77777777" w:rsidR="007B04C8" w:rsidRPr="00363E28" w:rsidRDefault="007B04C8" w:rsidP="007B04C8">
      <w:pPr>
        <w:pStyle w:val="Textpoznmkypodiarou"/>
        <w:rPr>
          <w:lang w:val="en-US"/>
        </w:rPr>
      </w:pPr>
      <w:r w:rsidRPr="00DF4318">
        <w:rPr>
          <w:lang w:val="en-US"/>
        </w:rPr>
        <w:t>OECD 2021</w:t>
      </w:r>
      <w:r>
        <w:rPr>
          <w:lang w:val="en-US"/>
        </w:rPr>
        <w:t xml:space="preserve">, available at </w:t>
      </w:r>
      <w:hyperlink r:id="rId11" w:history="1">
        <w:r w:rsidRPr="00D33A10">
          <w:rPr>
            <w:rStyle w:val="Hypertextovprepojenie"/>
            <w:lang w:val="en-US"/>
          </w:rPr>
          <w:t>https://www.oecd.org/els/emp/DetailedMethodnote-MW-OECD-AIAS_DB.pdf</w:t>
        </w:r>
      </w:hyperlink>
      <w:r>
        <w:rPr>
          <w:lang w:val="en-US"/>
        </w:rPr>
        <w:t xml:space="preserve"> </w:t>
      </w:r>
    </w:p>
  </w:footnote>
  <w:footnote w:id="19">
    <w:p w14:paraId="78BA54E0" w14:textId="77777777" w:rsidR="007B04C8" w:rsidRPr="00891001" w:rsidRDefault="007B04C8" w:rsidP="007B04C8">
      <w:pPr>
        <w:pStyle w:val="Textpoznmkypodiarou"/>
        <w:rPr>
          <w:lang w:val="en-US"/>
        </w:rPr>
      </w:pPr>
      <w:r>
        <w:rPr>
          <w:rStyle w:val="Odkaznapoznmkupodiarou"/>
        </w:rPr>
        <w:footnoteRef/>
      </w:r>
      <w:r>
        <w:t xml:space="preserve"> </w:t>
      </w:r>
      <w:hyperlink r:id="rId12" w:history="1">
        <w:r w:rsidRPr="00D33A10">
          <w:rPr>
            <w:rStyle w:val="Hypertextovprepojenie"/>
          </w:rPr>
          <w:t>https://www.eurofound.europa.eu/sites/default/files/ef_publication/field_ef_document/ef19028en.pdf</w:t>
        </w:r>
      </w:hyperlink>
      <w:r>
        <w:t xml:space="preserve"> </w:t>
      </w:r>
    </w:p>
  </w:footnote>
  <w:footnote w:id="20">
    <w:p w14:paraId="6611C35B" w14:textId="77777777" w:rsidR="00693FDA" w:rsidRPr="00562C85" w:rsidRDefault="00693FDA">
      <w:pPr>
        <w:pStyle w:val="Textpoznmkypodiarou"/>
        <w:rPr>
          <w:lang w:val="en-US"/>
        </w:rPr>
      </w:pPr>
      <w:r>
        <w:rPr>
          <w:rStyle w:val="Odkaznapoznmkupodiarou"/>
        </w:rPr>
        <w:footnoteRef/>
      </w:r>
      <w:r>
        <w:t xml:space="preserve"> </w:t>
      </w:r>
      <w:hyperlink r:id="rId13" w:history="1">
        <w:r w:rsidRPr="00D33A10">
          <w:rPr>
            <w:rStyle w:val="Hypertextovprepojenie"/>
          </w:rPr>
          <w:t>https://normlex.ilo.org/dyn/normlex/en/f?p=1000:11300:0::NO:11300:P11300_INSTRUMENT_ID:312276</w:t>
        </w:r>
      </w:hyperlink>
      <w:r>
        <w:t xml:space="preserve"> </w:t>
      </w:r>
    </w:p>
  </w:footnote>
  <w:footnote w:id="21">
    <w:p w14:paraId="0A58BCC3" w14:textId="77777777" w:rsidR="00693FDA" w:rsidRPr="003C6658" w:rsidRDefault="00693FDA" w:rsidP="001A13A3">
      <w:pPr>
        <w:pStyle w:val="Textpoznmkypodiarou"/>
        <w:rPr>
          <w:lang w:val="en-US"/>
        </w:rPr>
      </w:pPr>
      <w:r>
        <w:rPr>
          <w:rStyle w:val="Odkaznapoznmkupodiarou"/>
        </w:rPr>
        <w:footnoteRef/>
      </w:r>
      <w:r>
        <w:t xml:space="preserve"> </w:t>
      </w:r>
      <w:hyperlink r:id="rId14" w:history="1">
        <w:r w:rsidRPr="00D260A5">
          <w:rPr>
            <w:rStyle w:val="Hypertextovprepojenie"/>
          </w:rPr>
          <w:t>https://www.parliament.bg/en/news/ID/5897</w:t>
        </w:r>
      </w:hyperlink>
      <w:r>
        <w:t xml:space="preserve"> </w:t>
      </w:r>
    </w:p>
  </w:footnote>
  <w:footnote w:id="22">
    <w:p w14:paraId="518EDC62" w14:textId="77777777" w:rsidR="00693FDA" w:rsidRPr="000773A6" w:rsidRDefault="00693FDA" w:rsidP="004372F5">
      <w:pPr>
        <w:pStyle w:val="Textpoznmkypodiarou"/>
        <w:rPr>
          <w:lang w:val="en-US"/>
        </w:rPr>
      </w:pPr>
      <w:r>
        <w:rPr>
          <w:rStyle w:val="Odkaznapoznmkupodiarou"/>
        </w:rPr>
        <w:footnoteRef/>
      </w:r>
      <w:r>
        <w:t xml:space="preserve"> </w:t>
      </w:r>
      <w:r w:rsidRPr="000773A6">
        <w:t>https://www.oecd.org/employment/collective-bargaining-database-Bulgaria.pdf</w:t>
      </w:r>
    </w:p>
  </w:footnote>
  <w:footnote w:id="23">
    <w:p w14:paraId="4AED5E6E" w14:textId="77777777" w:rsidR="00693FDA" w:rsidRPr="006C02C4" w:rsidRDefault="00693FDA">
      <w:pPr>
        <w:pStyle w:val="Textpoznmkypodiarou"/>
      </w:pPr>
      <w:r>
        <w:rPr>
          <w:rStyle w:val="Odkaznapoznmkupodiarou"/>
        </w:rPr>
        <w:footnoteRef/>
      </w:r>
      <w:r>
        <w:t xml:space="preserve"> </w:t>
      </w:r>
      <w:hyperlink r:id="rId15" w:history="1">
        <w:r w:rsidRPr="00B3450D">
          <w:rPr>
            <w:rStyle w:val="Hypertextovprepojenie"/>
          </w:rPr>
          <w:t>https://single-market-economy.ec.europa.eu/system/files/2021-11/ECSO_CFS_Bulgaria_2021.pdf</w:t>
        </w:r>
      </w:hyperlink>
    </w:p>
  </w:footnote>
  <w:footnote w:id="24">
    <w:p w14:paraId="0F4C7476" w14:textId="77777777" w:rsidR="00693FDA" w:rsidRPr="008F5087" w:rsidRDefault="00693FDA">
      <w:pPr>
        <w:pStyle w:val="Textpoznmkypodiarou"/>
      </w:pPr>
      <w:r>
        <w:rPr>
          <w:rStyle w:val="Odkaznapoznmkupodiarou"/>
        </w:rPr>
        <w:footnoteRef/>
      </w:r>
      <w:r>
        <w:t xml:space="preserve"> </w:t>
      </w:r>
      <w:r w:rsidRPr="00F10380">
        <w:t>https://www.salaryexplorer.com/average-salary-wage-comparison-bulgaria-construction-building-installation-c33f17</w:t>
      </w:r>
    </w:p>
  </w:footnote>
  <w:footnote w:id="25">
    <w:p w14:paraId="129D37E5" w14:textId="77777777" w:rsidR="00693FDA" w:rsidRPr="0053207E" w:rsidRDefault="00693FDA" w:rsidP="008C4736">
      <w:pPr>
        <w:pStyle w:val="Textpoznmkypodiarou"/>
        <w:rPr>
          <w:lang w:val="en-US"/>
        </w:rPr>
      </w:pPr>
      <w:r>
        <w:rPr>
          <w:rStyle w:val="Odkaznapoznmkupodiarou"/>
        </w:rPr>
        <w:footnoteRef/>
      </w:r>
      <w:r>
        <w:t xml:space="preserve"> </w:t>
      </w:r>
      <w:hyperlink r:id="rId16" w:history="1">
        <w:r>
          <w:rPr>
            <w:rStyle w:val="Hypertextovprepojenie"/>
          </w:rPr>
          <w:t>National Institute for Conciliation and Arbitration (nipa.bg)</w:t>
        </w:r>
      </w:hyperlink>
    </w:p>
  </w:footnote>
  <w:footnote w:id="26">
    <w:p w14:paraId="66280567" w14:textId="77777777" w:rsidR="00433701" w:rsidRPr="009316C9" w:rsidRDefault="00433701" w:rsidP="00433701">
      <w:pPr>
        <w:pStyle w:val="Textpoznmkypodiarou"/>
        <w:rPr>
          <w:lang w:val="en-US"/>
        </w:rPr>
      </w:pPr>
      <w:r>
        <w:rPr>
          <w:rStyle w:val="Odkaznapoznmkupodiarou"/>
        </w:rPr>
        <w:footnoteRef/>
      </w:r>
      <w:r>
        <w:t xml:space="preserve"> </w:t>
      </w:r>
      <w:r w:rsidRPr="00FB2AEF">
        <w:t>https://www.statista.com/statistics/385380/number-of-employees-water-supply-sewerage-waste-managment-bulgaria/</w:t>
      </w:r>
    </w:p>
  </w:footnote>
  <w:footnote w:id="27">
    <w:p w14:paraId="0C03DBB5" w14:textId="77777777" w:rsidR="00433701" w:rsidRPr="000238BD" w:rsidRDefault="00433701" w:rsidP="00433701">
      <w:pPr>
        <w:pStyle w:val="Textpoznmkypodiarou"/>
        <w:rPr>
          <w:lang w:val="en-US"/>
        </w:rPr>
      </w:pPr>
      <w:r>
        <w:rPr>
          <w:rStyle w:val="Odkaznapoznmkupodiarou"/>
        </w:rPr>
        <w:footnoteRef/>
      </w:r>
      <w:r>
        <w:t xml:space="preserve"> </w:t>
      </w:r>
      <w:r w:rsidRPr="00996D8E">
        <w:t>https://www.nsi.bg/en/content/3928/total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8C15" w14:textId="24F1AC87" w:rsidR="00693FDA" w:rsidRPr="00C54337" w:rsidRDefault="00693FDA" w:rsidP="00C54337">
    <w:pPr>
      <w:pStyle w:val="Hlavika"/>
      <w:jc w:val="right"/>
      <w:rPr>
        <w:rFonts w:ascii="Source Sans" w:hAnsi="Source Sans"/>
        <w:i/>
        <w:lang w:val="en-US"/>
      </w:rPr>
    </w:pPr>
    <w:r w:rsidRPr="00C54337">
      <w:rPr>
        <w:rFonts w:ascii="Source Sans" w:hAnsi="Source Sans"/>
        <w:i/>
      </w:rPr>
      <w:t xml:space="preserve">BARWAGE Report </w:t>
    </w:r>
    <w:r>
      <w:rPr>
        <w:rFonts w:ascii="Source Sans" w:hAnsi="Source Sans"/>
        <w:i/>
        <w:lang w:val="en-US"/>
      </w:rPr>
      <w:t>4</w:t>
    </w:r>
  </w:p>
  <w:p w14:paraId="670D0B58" w14:textId="77777777" w:rsidR="00693FDA" w:rsidRDefault="00693FD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473"/>
    <w:multiLevelType w:val="hybridMultilevel"/>
    <w:tmpl w:val="82D6BC7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F916E3"/>
    <w:multiLevelType w:val="multilevel"/>
    <w:tmpl w:val="DCB817CA"/>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901FB8"/>
    <w:multiLevelType w:val="multilevel"/>
    <w:tmpl w:val="608C6C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544ACD"/>
    <w:multiLevelType w:val="multilevel"/>
    <w:tmpl w:val="872885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37877"/>
    <w:multiLevelType w:val="multilevel"/>
    <w:tmpl w:val="A3D6E06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89144C"/>
    <w:multiLevelType w:val="hybridMultilevel"/>
    <w:tmpl w:val="B0B47E2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E7706"/>
    <w:multiLevelType w:val="hybridMultilevel"/>
    <w:tmpl w:val="402C5E92"/>
    <w:lvl w:ilvl="0" w:tplc="EB62C6F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7C4B7E"/>
    <w:multiLevelType w:val="hybridMultilevel"/>
    <w:tmpl w:val="C87028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780BF2"/>
    <w:multiLevelType w:val="hybridMultilevel"/>
    <w:tmpl w:val="B3706F8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39425A"/>
    <w:multiLevelType w:val="hybridMultilevel"/>
    <w:tmpl w:val="969090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B83BC2"/>
    <w:multiLevelType w:val="hybridMultilevel"/>
    <w:tmpl w:val="73667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543C6"/>
    <w:multiLevelType w:val="hybridMultilevel"/>
    <w:tmpl w:val="AF56E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B21EF"/>
    <w:multiLevelType w:val="hybridMultilevel"/>
    <w:tmpl w:val="EC004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B43262"/>
    <w:multiLevelType w:val="hybridMultilevel"/>
    <w:tmpl w:val="4B1A96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F2F343B"/>
    <w:multiLevelType w:val="hybridMultilevel"/>
    <w:tmpl w:val="7C80B372"/>
    <w:lvl w:ilvl="0" w:tplc="0D003A3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49AB5E16"/>
    <w:multiLevelType w:val="hybridMultilevel"/>
    <w:tmpl w:val="86D29F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B308A8"/>
    <w:multiLevelType w:val="hybridMultilevel"/>
    <w:tmpl w:val="97923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EA7C65"/>
    <w:multiLevelType w:val="hybridMultilevel"/>
    <w:tmpl w:val="FF3EBB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1608BF"/>
    <w:multiLevelType w:val="hybridMultilevel"/>
    <w:tmpl w:val="7AA8001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A7155B"/>
    <w:multiLevelType w:val="hybridMultilevel"/>
    <w:tmpl w:val="D22212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65065DF7"/>
    <w:multiLevelType w:val="hybridMultilevel"/>
    <w:tmpl w:val="4FB4FE3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120206"/>
    <w:multiLevelType w:val="multilevel"/>
    <w:tmpl w:val="DCB817CA"/>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FAA2D92"/>
    <w:multiLevelType w:val="hybridMultilevel"/>
    <w:tmpl w:val="7E503C44"/>
    <w:lvl w:ilvl="0" w:tplc="C06CA6F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762A74BE"/>
    <w:multiLevelType w:val="multilevel"/>
    <w:tmpl w:val="C010B7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12"/>
  </w:num>
  <w:num w:numId="3">
    <w:abstractNumId w:val="1"/>
  </w:num>
  <w:num w:numId="4">
    <w:abstractNumId w:val="0"/>
  </w:num>
  <w:num w:numId="5">
    <w:abstractNumId w:val="20"/>
  </w:num>
  <w:num w:numId="6">
    <w:abstractNumId w:val="10"/>
  </w:num>
  <w:num w:numId="7">
    <w:abstractNumId w:val="21"/>
  </w:num>
  <w:num w:numId="8">
    <w:abstractNumId w:val="6"/>
  </w:num>
  <w:num w:numId="9">
    <w:abstractNumId w:val="4"/>
  </w:num>
  <w:num w:numId="10">
    <w:abstractNumId w:val="19"/>
  </w:num>
  <w:num w:numId="11">
    <w:abstractNumId w:val="14"/>
  </w:num>
  <w:num w:numId="12">
    <w:abstractNumId w:val="3"/>
  </w:num>
  <w:num w:numId="13">
    <w:abstractNumId w:val="11"/>
  </w:num>
  <w:num w:numId="14">
    <w:abstractNumId w:val="2"/>
  </w:num>
  <w:num w:numId="15">
    <w:abstractNumId w:val="8"/>
  </w:num>
  <w:num w:numId="16">
    <w:abstractNumId w:val="18"/>
  </w:num>
  <w:num w:numId="17">
    <w:abstractNumId w:val="13"/>
  </w:num>
  <w:num w:numId="18">
    <w:abstractNumId w:val="5"/>
  </w:num>
  <w:num w:numId="19">
    <w:abstractNumId w:val="16"/>
  </w:num>
  <w:num w:numId="20">
    <w:abstractNumId w:val="23"/>
  </w:num>
  <w:num w:numId="21">
    <w:abstractNumId w:val="15"/>
  </w:num>
  <w:num w:numId="22">
    <w:abstractNumId w:val="17"/>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F0"/>
    <w:rsid w:val="00004ED4"/>
    <w:rsid w:val="000238BD"/>
    <w:rsid w:val="00025C83"/>
    <w:rsid w:val="00030EED"/>
    <w:rsid w:val="00035240"/>
    <w:rsid w:val="000467C3"/>
    <w:rsid w:val="000564AA"/>
    <w:rsid w:val="0005796D"/>
    <w:rsid w:val="000773A6"/>
    <w:rsid w:val="0008052E"/>
    <w:rsid w:val="0008316E"/>
    <w:rsid w:val="00084093"/>
    <w:rsid w:val="00090B5D"/>
    <w:rsid w:val="00094F92"/>
    <w:rsid w:val="000A167F"/>
    <w:rsid w:val="000A26D5"/>
    <w:rsid w:val="000A2CCA"/>
    <w:rsid w:val="000A63AC"/>
    <w:rsid w:val="000A7619"/>
    <w:rsid w:val="000B0F5C"/>
    <w:rsid w:val="000C16D1"/>
    <w:rsid w:val="000C3443"/>
    <w:rsid w:val="000D5DBB"/>
    <w:rsid w:val="000D75F1"/>
    <w:rsid w:val="000E21AE"/>
    <w:rsid w:val="000E2955"/>
    <w:rsid w:val="000E4EBA"/>
    <w:rsid w:val="000E639C"/>
    <w:rsid w:val="000F1451"/>
    <w:rsid w:val="00101FD5"/>
    <w:rsid w:val="001066E9"/>
    <w:rsid w:val="0011716C"/>
    <w:rsid w:val="001214F6"/>
    <w:rsid w:val="001302EF"/>
    <w:rsid w:val="001425BA"/>
    <w:rsid w:val="00142BF9"/>
    <w:rsid w:val="0015277F"/>
    <w:rsid w:val="00157DD0"/>
    <w:rsid w:val="001649CE"/>
    <w:rsid w:val="00173823"/>
    <w:rsid w:val="00183940"/>
    <w:rsid w:val="00185019"/>
    <w:rsid w:val="001855FD"/>
    <w:rsid w:val="00192F2A"/>
    <w:rsid w:val="001A13A3"/>
    <w:rsid w:val="001A5BFF"/>
    <w:rsid w:val="001C213C"/>
    <w:rsid w:val="001C2DB4"/>
    <w:rsid w:val="001C3500"/>
    <w:rsid w:val="001D4395"/>
    <w:rsid w:val="001F1C88"/>
    <w:rsid w:val="001F1F71"/>
    <w:rsid w:val="001F6E80"/>
    <w:rsid w:val="00203B80"/>
    <w:rsid w:val="00212F0F"/>
    <w:rsid w:val="002244E9"/>
    <w:rsid w:val="00237C73"/>
    <w:rsid w:val="002447A1"/>
    <w:rsid w:val="00244C6B"/>
    <w:rsid w:val="002456A9"/>
    <w:rsid w:val="002522A5"/>
    <w:rsid w:val="00254EFB"/>
    <w:rsid w:val="00263BF5"/>
    <w:rsid w:val="00264FC2"/>
    <w:rsid w:val="0029753A"/>
    <w:rsid w:val="002A14E3"/>
    <w:rsid w:val="002A17FD"/>
    <w:rsid w:val="002B2995"/>
    <w:rsid w:val="002B3EEB"/>
    <w:rsid w:val="002B5921"/>
    <w:rsid w:val="002B6643"/>
    <w:rsid w:val="002C27EE"/>
    <w:rsid w:val="002C3BCB"/>
    <w:rsid w:val="002C554B"/>
    <w:rsid w:val="002C5F03"/>
    <w:rsid w:val="002C62DF"/>
    <w:rsid w:val="002C6614"/>
    <w:rsid w:val="002D4866"/>
    <w:rsid w:val="002E1B35"/>
    <w:rsid w:val="002E7BDB"/>
    <w:rsid w:val="002F2C53"/>
    <w:rsid w:val="002F6C9A"/>
    <w:rsid w:val="002F720A"/>
    <w:rsid w:val="002F7CB1"/>
    <w:rsid w:val="00303EDE"/>
    <w:rsid w:val="0031352C"/>
    <w:rsid w:val="003146D5"/>
    <w:rsid w:val="00332624"/>
    <w:rsid w:val="00350976"/>
    <w:rsid w:val="00351BEF"/>
    <w:rsid w:val="003525C1"/>
    <w:rsid w:val="00363E28"/>
    <w:rsid w:val="00370634"/>
    <w:rsid w:val="00372E4D"/>
    <w:rsid w:val="00375FD3"/>
    <w:rsid w:val="003843DA"/>
    <w:rsid w:val="003A0B2C"/>
    <w:rsid w:val="003A5D36"/>
    <w:rsid w:val="003B04D3"/>
    <w:rsid w:val="003B34DB"/>
    <w:rsid w:val="003B6B03"/>
    <w:rsid w:val="003C0C61"/>
    <w:rsid w:val="003D2CBC"/>
    <w:rsid w:val="003D724C"/>
    <w:rsid w:val="003F0103"/>
    <w:rsid w:val="00407167"/>
    <w:rsid w:val="00411706"/>
    <w:rsid w:val="00421799"/>
    <w:rsid w:val="00433701"/>
    <w:rsid w:val="004372F5"/>
    <w:rsid w:val="00441DA3"/>
    <w:rsid w:val="00454111"/>
    <w:rsid w:val="00462EA8"/>
    <w:rsid w:val="00463DF6"/>
    <w:rsid w:val="004665D2"/>
    <w:rsid w:val="004809FD"/>
    <w:rsid w:val="00480E0F"/>
    <w:rsid w:val="004817B9"/>
    <w:rsid w:val="00486458"/>
    <w:rsid w:val="0049274F"/>
    <w:rsid w:val="004945E7"/>
    <w:rsid w:val="004A4346"/>
    <w:rsid w:val="004A70B8"/>
    <w:rsid w:val="004B3B4B"/>
    <w:rsid w:val="004C30DD"/>
    <w:rsid w:val="004C7221"/>
    <w:rsid w:val="004F2348"/>
    <w:rsid w:val="00503341"/>
    <w:rsid w:val="005104CF"/>
    <w:rsid w:val="00512BDF"/>
    <w:rsid w:val="00516A81"/>
    <w:rsid w:val="0051782A"/>
    <w:rsid w:val="0052119C"/>
    <w:rsid w:val="00522D35"/>
    <w:rsid w:val="00523760"/>
    <w:rsid w:val="0053207E"/>
    <w:rsid w:val="0053307E"/>
    <w:rsid w:val="00546CBF"/>
    <w:rsid w:val="00552E1E"/>
    <w:rsid w:val="00553400"/>
    <w:rsid w:val="005610E7"/>
    <w:rsid w:val="00562C85"/>
    <w:rsid w:val="0058093A"/>
    <w:rsid w:val="005828CA"/>
    <w:rsid w:val="00596251"/>
    <w:rsid w:val="005968F2"/>
    <w:rsid w:val="005A0D07"/>
    <w:rsid w:val="005A364B"/>
    <w:rsid w:val="005B3802"/>
    <w:rsid w:val="005C7C36"/>
    <w:rsid w:val="005C7D0C"/>
    <w:rsid w:val="005D12A8"/>
    <w:rsid w:val="005D3670"/>
    <w:rsid w:val="005F79C0"/>
    <w:rsid w:val="00604314"/>
    <w:rsid w:val="0060504E"/>
    <w:rsid w:val="00606286"/>
    <w:rsid w:val="00606E7A"/>
    <w:rsid w:val="006217F5"/>
    <w:rsid w:val="0062537C"/>
    <w:rsid w:val="006312CD"/>
    <w:rsid w:val="006369BC"/>
    <w:rsid w:val="00643626"/>
    <w:rsid w:val="00660A01"/>
    <w:rsid w:val="006614F1"/>
    <w:rsid w:val="00664062"/>
    <w:rsid w:val="00666988"/>
    <w:rsid w:val="00687893"/>
    <w:rsid w:val="006935B9"/>
    <w:rsid w:val="00693FDA"/>
    <w:rsid w:val="006C02C4"/>
    <w:rsid w:val="006C21B3"/>
    <w:rsid w:val="006C547B"/>
    <w:rsid w:val="006D0CB5"/>
    <w:rsid w:val="00714DFB"/>
    <w:rsid w:val="00717842"/>
    <w:rsid w:val="00721830"/>
    <w:rsid w:val="0073317C"/>
    <w:rsid w:val="00736E17"/>
    <w:rsid w:val="00742CBC"/>
    <w:rsid w:val="007448D0"/>
    <w:rsid w:val="00750782"/>
    <w:rsid w:val="00754E78"/>
    <w:rsid w:val="00755845"/>
    <w:rsid w:val="0076166D"/>
    <w:rsid w:val="00766773"/>
    <w:rsid w:val="00772E61"/>
    <w:rsid w:val="00776262"/>
    <w:rsid w:val="007A572E"/>
    <w:rsid w:val="007B04C8"/>
    <w:rsid w:val="007B0F83"/>
    <w:rsid w:val="007B1D0F"/>
    <w:rsid w:val="007B619F"/>
    <w:rsid w:val="007B7853"/>
    <w:rsid w:val="007D5DEA"/>
    <w:rsid w:val="007D621F"/>
    <w:rsid w:val="007E6DB7"/>
    <w:rsid w:val="007F4A9F"/>
    <w:rsid w:val="00803E17"/>
    <w:rsid w:val="00807433"/>
    <w:rsid w:val="00822C12"/>
    <w:rsid w:val="00837850"/>
    <w:rsid w:val="00847974"/>
    <w:rsid w:val="0085787A"/>
    <w:rsid w:val="00862ED2"/>
    <w:rsid w:val="008632D2"/>
    <w:rsid w:val="00867764"/>
    <w:rsid w:val="00873CCA"/>
    <w:rsid w:val="008761AA"/>
    <w:rsid w:val="00883102"/>
    <w:rsid w:val="00891001"/>
    <w:rsid w:val="00895D41"/>
    <w:rsid w:val="008A1663"/>
    <w:rsid w:val="008A5A6B"/>
    <w:rsid w:val="008C339F"/>
    <w:rsid w:val="008C43FA"/>
    <w:rsid w:val="008C4736"/>
    <w:rsid w:val="008C571E"/>
    <w:rsid w:val="008C716F"/>
    <w:rsid w:val="008D3F0D"/>
    <w:rsid w:val="008E11F6"/>
    <w:rsid w:val="008F4AD7"/>
    <w:rsid w:val="008F5087"/>
    <w:rsid w:val="00900A25"/>
    <w:rsid w:val="00904366"/>
    <w:rsid w:val="00932A22"/>
    <w:rsid w:val="00941BEF"/>
    <w:rsid w:val="00944BB3"/>
    <w:rsid w:val="009710EB"/>
    <w:rsid w:val="00975BC2"/>
    <w:rsid w:val="00977AFD"/>
    <w:rsid w:val="00992574"/>
    <w:rsid w:val="00995782"/>
    <w:rsid w:val="00996174"/>
    <w:rsid w:val="00996D8E"/>
    <w:rsid w:val="00997FF4"/>
    <w:rsid w:val="009A6FDD"/>
    <w:rsid w:val="009F0436"/>
    <w:rsid w:val="00A122B7"/>
    <w:rsid w:val="00A15179"/>
    <w:rsid w:val="00A20F51"/>
    <w:rsid w:val="00A234FA"/>
    <w:rsid w:val="00A24149"/>
    <w:rsid w:val="00A27850"/>
    <w:rsid w:val="00A56058"/>
    <w:rsid w:val="00A61216"/>
    <w:rsid w:val="00A61BE1"/>
    <w:rsid w:val="00A71A54"/>
    <w:rsid w:val="00A73540"/>
    <w:rsid w:val="00A8555F"/>
    <w:rsid w:val="00A86A45"/>
    <w:rsid w:val="00A90C0A"/>
    <w:rsid w:val="00A94B2F"/>
    <w:rsid w:val="00A978F8"/>
    <w:rsid w:val="00AA31BA"/>
    <w:rsid w:val="00AA3947"/>
    <w:rsid w:val="00AA5E9E"/>
    <w:rsid w:val="00AB2A31"/>
    <w:rsid w:val="00AB5F4D"/>
    <w:rsid w:val="00AE1999"/>
    <w:rsid w:val="00AF7962"/>
    <w:rsid w:val="00B06224"/>
    <w:rsid w:val="00B20445"/>
    <w:rsid w:val="00B232E5"/>
    <w:rsid w:val="00B31201"/>
    <w:rsid w:val="00B33471"/>
    <w:rsid w:val="00B44E02"/>
    <w:rsid w:val="00B518B1"/>
    <w:rsid w:val="00B53FDA"/>
    <w:rsid w:val="00B7194B"/>
    <w:rsid w:val="00B818AF"/>
    <w:rsid w:val="00B86C75"/>
    <w:rsid w:val="00B92546"/>
    <w:rsid w:val="00B934C1"/>
    <w:rsid w:val="00B94F6C"/>
    <w:rsid w:val="00BB012C"/>
    <w:rsid w:val="00BC5275"/>
    <w:rsid w:val="00BC52FC"/>
    <w:rsid w:val="00BC5D15"/>
    <w:rsid w:val="00BC6FEF"/>
    <w:rsid w:val="00BE65EB"/>
    <w:rsid w:val="00C0208B"/>
    <w:rsid w:val="00C023A3"/>
    <w:rsid w:val="00C17332"/>
    <w:rsid w:val="00C359B0"/>
    <w:rsid w:val="00C42796"/>
    <w:rsid w:val="00C54337"/>
    <w:rsid w:val="00C65F27"/>
    <w:rsid w:val="00C707C0"/>
    <w:rsid w:val="00C83ECB"/>
    <w:rsid w:val="00C85FEF"/>
    <w:rsid w:val="00C92AA3"/>
    <w:rsid w:val="00C934B5"/>
    <w:rsid w:val="00C9724F"/>
    <w:rsid w:val="00CA02B7"/>
    <w:rsid w:val="00CB375E"/>
    <w:rsid w:val="00CB6023"/>
    <w:rsid w:val="00CC6B26"/>
    <w:rsid w:val="00CD495A"/>
    <w:rsid w:val="00CD74C8"/>
    <w:rsid w:val="00CE1FAE"/>
    <w:rsid w:val="00CF0CC2"/>
    <w:rsid w:val="00CF21DB"/>
    <w:rsid w:val="00D10FF0"/>
    <w:rsid w:val="00D41678"/>
    <w:rsid w:val="00D42D10"/>
    <w:rsid w:val="00D4426C"/>
    <w:rsid w:val="00D452A7"/>
    <w:rsid w:val="00D6039A"/>
    <w:rsid w:val="00D639DA"/>
    <w:rsid w:val="00D7140A"/>
    <w:rsid w:val="00D720FE"/>
    <w:rsid w:val="00D87262"/>
    <w:rsid w:val="00DA460B"/>
    <w:rsid w:val="00DB5AF4"/>
    <w:rsid w:val="00DC1AE6"/>
    <w:rsid w:val="00DD3A21"/>
    <w:rsid w:val="00DE18E1"/>
    <w:rsid w:val="00DF1D56"/>
    <w:rsid w:val="00DF200C"/>
    <w:rsid w:val="00DF4318"/>
    <w:rsid w:val="00DF6559"/>
    <w:rsid w:val="00E04D46"/>
    <w:rsid w:val="00E051D3"/>
    <w:rsid w:val="00E15B59"/>
    <w:rsid w:val="00E25C23"/>
    <w:rsid w:val="00E25CE6"/>
    <w:rsid w:val="00E45940"/>
    <w:rsid w:val="00E56DDD"/>
    <w:rsid w:val="00E57170"/>
    <w:rsid w:val="00E6273F"/>
    <w:rsid w:val="00E64D0C"/>
    <w:rsid w:val="00E6522E"/>
    <w:rsid w:val="00E6795C"/>
    <w:rsid w:val="00E77B05"/>
    <w:rsid w:val="00E957CC"/>
    <w:rsid w:val="00EA5874"/>
    <w:rsid w:val="00EA59A7"/>
    <w:rsid w:val="00EB4E50"/>
    <w:rsid w:val="00EB6A71"/>
    <w:rsid w:val="00EC2A51"/>
    <w:rsid w:val="00EC78A4"/>
    <w:rsid w:val="00ED0F85"/>
    <w:rsid w:val="00EF750F"/>
    <w:rsid w:val="00EF7F96"/>
    <w:rsid w:val="00F0001C"/>
    <w:rsid w:val="00F01203"/>
    <w:rsid w:val="00F07B89"/>
    <w:rsid w:val="00F10380"/>
    <w:rsid w:val="00F22C3B"/>
    <w:rsid w:val="00F3138C"/>
    <w:rsid w:val="00F31E0C"/>
    <w:rsid w:val="00F36233"/>
    <w:rsid w:val="00F37909"/>
    <w:rsid w:val="00F64CF2"/>
    <w:rsid w:val="00F700A5"/>
    <w:rsid w:val="00F730F5"/>
    <w:rsid w:val="00F80E21"/>
    <w:rsid w:val="00F939A4"/>
    <w:rsid w:val="00FB19D9"/>
    <w:rsid w:val="00FB2AEF"/>
    <w:rsid w:val="00FC7DAA"/>
    <w:rsid w:val="00FD2713"/>
    <w:rsid w:val="00FD51F3"/>
    <w:rsid w:val="00FD57F6"/>
    <w:rsid w:val="00FE2BC2"/>
    <w:rsid w:val="00FF14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80FA"/>
  <w15:docId w15:val="{5E9067F8-251B-694E-9555-9ACACDD5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753A"/>
    <w:rPr>
      <w:lang w:val="it-IT"/>
    </w:rPr>
  </w:style>
  <w:style w:type="paragraph" w:styleId="Nadpis1">
    <w:name w:val="heading 1"/>
    <w:basedOn w:val="Normlny"/>
    <w:next w:val="Normlny"/>
    <w:link w:val="Nadpis1Char"/>
    <w:uiPriority w:val="9"/>
    <w:qFormat/>
    <w:rsid w:val="00C934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4C72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9753A"/>
    <w:pPr>
      <w:ind w:left="720"/>
      <w:contextualSpacing/>
    </w:pPr>
  </w:style>
  <w:style w:type="character" w:styleId="Hypertextovprepojenie">
    <w:name w:val="Hyperlink"/>
    <w:basedOn w:val="Predvolenpsmoodseku"/>
    <w:uiPriority w:val="99"/>
    <w:unhideWhenUsed/>
    <w:rsid w:val="0076166D"/>
    <w:rPr>
      <w:color w:val="0563C1" w:themeColor="hyperlink"/>
      <w:u w:val="single"/>
    </w:rPr>
  </w:style>
  <w:style w:type="paragraph" w:styleId="Textpoznmkypodiarou">
    <w:name w:val="footnote text"/>
    <w:basedOn w:val="Normlny"/>
    <w:link w:val="TextpoznmkypodiarouChar"/>
    <w:uiPriority w:val="99"/>
    <w:semiHidden/>
    <w:unhideWhenUsed/>
    <w:rsid w:val="00B0622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06224"/>
    <w:rPr>
      <w:sz w:val="20"/>
      <w:szCs w:val="20"/>
      <w:lang w:val="it-IT"/>
    </w:rPr>
  </w:style>
  <w:style w:type="character" w:styleId="Odkaznapoznmkupodiarou">
    <w:name w:val="footnote reference"/>
    <w:basedOn w:val="Predvolenpsmoodseku"/>
    <w:uiPriority w:val="99"/>
    <w:semiHidden/>
    <w:unhideWhenUsed/>
    <w:rsid w:val="00B06224"/>
    <w:rPr>
      <w:vertAlign w:val="superscript"/>
    </w:rPr>
  </w:style>
  <w:style w:type="character" w:styleId="PouitHypertextovPrepojenie">
    <w:name w:val="FollowedHyperlink"/>
    <w:basedOn w:val="Predvolenpsmoodseku"/>
    <w:uiPriority w:val="99"/>
    <w:semiHidden/>
    <w:unhideWhenUsed/>
    <w:rsid w:val="00EC2A51"/>
    <w:rPr>
      <w:color w:val="954F72" w:themeColor="followedHyperlink"/>
      <w:u w:val="single"/>
    </w:rPr>
  </w:style>
  <w:style w:type="paragraph" w:styleId="Revzia">
    <w:name w:val="Revision"/>
    <w:hidden/>
    <w:uiPriority w:val="99"/>
    <w:semiHidden/>
    <w:rsid w:val="0053307E"/>
    <w:pPr>
      <w:spacing w:after="0" w:line="240" w:lineRule="auto"/>
    </w:pPr>
    <w:rPr>
      <w:lang w:val="it-IT"/>
    </w:rPr>
  </w:style>
  <w:style w:type="paragraph" w:styleId="Pta">
    <w:name w:val="footer"/>
    <w:basedOn w:val="Normlny"/>
    <w:link w:val="PtaChar"/>
    <w:uiPriority w:val="99"/>
    <w:unhideWhenUsed/>
    <w:rsid w:val="0053307E"/>
    <w:pPr>
      <w:tabs>
        <w:tab w:val="center" w:pos="4513"/>
        <w:tab w:val="right" w:pos="9026"/>
      </w:tabs>
      <w:spacing w:after="0" w:line="240" w:lineRule="auto"/>
    </w:pPr>
  </w:style>
  <w:style w:type="character" w:customStyle="1" w:styleId="PtaChar">
    <w:name w:val="Päta Char"/>
    <w:basedOn w:val="Predvolenpsmoodseku"/>
    <w:link w:val="Pta"/>
    <w:uiPriority w:val="99"/>
    <w:rsid w:val="0053307E"/>
    <w:rPr>
      <w:lang w:val="it-IT"/>
    </w:rPr>
  </w:style>
  <w:style w:type="character" w:styleId="slostrany">
    <w:name w:val="page number"/>
    <w:basedOn w:val="Predvolenpsmoodseku"/>
    <w:uiPriority w:val="99"/>
    <w:semiHidden/>
    <w:unhideWhenUsed/>
    <w:rsid w:val="0053307E"/>
  </w:style>
  <w:style w:type="character" w:customStyle="1" w:styleId="Nadpis1Char">
    <w:name w:val="Nadpis 1 Char"/>
    <w:basedOn w:val="Predvolenpsmoodseku"/>
    <w:link w:val="Nadpis1"/>
    <w:uiPriority w:val="9"/>
    <w:rsid w:val="00C934B5"/>
    <w:rPr>
      <w:rFonts w:asciiTheme="majorHAnsi" w:eastAsiaTheme="majorEastAsia" w:hAnsiTheme="majorHAnsi" w:cstheme="majorBidi"/>
      <w:color w:val="2E74B5" w:themeColor="accent1" w:themeShade="BF"/>
      <w:sz w:val="32"/>
      <w:szCs w:val="32"/>
      <w:lang w:val="it-IT"/>
    </w:rPr>
  </w:style>
  <w:style w:type="character" w:customStyle="1" w:styleId="Nadpis2Char">
    <w:name w:val="Nadpis 2 Char"/>
    <w:basedOn w:val="Predvolenpsmoodseku"/>
    <w:link w:val="Nadpis2"/>
    <w:uiPriority w:val="9"/>
    <w:rsid w:val="004C7221"/>
    <w:rPr>
      <w:rFonts w:asciiTheme="majorHAnsi" w:eastAsiaTheme="majorEastAsia" w:hAnsiTheme="majorHAnsi" w:cstheme="majorBidi"/>
      <w:color w:val="2E74B5" w:themeColor="accent1" w:themeShade="BF"/>
      <w:sz w:val="26"/>
      <w:szCs w:val="26"/>
      <w:lang w:val="it-IT"/>
    </w:rPr>
  </w:style>
  <w:style w:type="paragraph" w:styleId="Hlavikaobsahu">
    <w:name w:val="TOC Heading"/>
    <w:basedOn w:val="Nadpis1"/>
    <w:next w:val="Normlny"/>
    <w:uiPriority w:val="39"/>
    <w:unhideWhenUsed/>
    <w:qFormat/>
    <w:rsid w:val="004372F5"/>
    <w:pPr>
      <w:spacing w:before="480" w:line="276" w:lineRule="auto"/>
      <w:outlineLvl w:val="9"/>
    </w:pPr>
    <w:rPr>
      <w:b/>
      <w:bCs/>
      <w:sz w:val="28"/>
      <w:szCs w:val="28"/>
      <w:lang w:val="en-US"/>
    </w:rPr>
  </w:style>
  <w:style w:type="paragraph" w:styleId="Obsah1">
    <w:name w:val="toc 1"/>
    <w:basedOn w:val="Normlny"/>
    <w:next w:val="Normlny"/>
    <w:autoRedefine/>
    <w:uiPriority w:val="39"/>
    <w:unhideWhenUsed/>
    <w:rsid w:val="004372F5"/>
    <w:pPr>
      <w:tabs>
        <w:tab w:val="right" w:leader="dot" w:pos="9062"/>
      </w:tabs>
      <w:spacing w:before="120" w:after="0"/>
    </w:pPr>
    <w:rPr>
      <w:rFonts w:cstheme="minorHAnsi"/>
      <w:b/>
      <w:bCs/>
      <w:i/>
      <w:iCs/>
      <w:sz w:val="24"/>
      <w:szCs w:val="24"/>
    </w:rPr>
  </w:style>
  <w:style w:type="paragraph" w:styleId="Obsah2">
    <w:name w:val="toc 2"/>
    <w:basedOn w:val="Normlny"/>
    <w:next w:val="Normlny"/>
    <w:autoRedefine/>
    <w:uiPriority w:val="39"/>
    <w:unhideWhenUsed/>
    <w:rsid w:val="004372F5"/>
    <w:pPr>
      <w:spacing w:before="120" w:after="0"/>
      <w:ind w:left="220"/>
    </w:pPr>
    <w:rPr>
      <w:rFonts w:cstheme="minorHAnsi"/>
      <w:b/>
      <w:bCs/>
    </w:rPr>
  </w:style>
  <w:style w:type="paragraph" w:styleId="Obsah3">
    <w:name w:val="toc 3"/>
    <w:basedOn w:val="Normlny"/>
    <w:next w:val="Normlny"/>
    <w:autoRedefine/>
    <w:uiPriority w:val="39"/>
    <w:semiHidden/>
    <w:unhideWhenUsed/>
    <w:rsid w:val="004372F5"/>
    <w:pPr>
      <w:spacing w:after="0"/>
      <w:ind w:left="440"/>
    </w:pPr>
    <w:rPr>
      <w:rFonts w:cstheme="minorHAnsi"/>
      <w:sz w:val="20"/>
      <w:szCs w:val="20"/>
    </w:rPr>
  </w:style>
  <w:style w:type="paragraph" w:styleId="Obsah4">
    <w:name w:val="toc 4"/>
    <w:basedOn w:val="Normlny"/>
    <w:next w:val="Normlny"/>
    <w:autoRedefine/>
    <w:uiPriority w:val="39"/>
    <w:semiHidden/>
    <w:unhideWhenUsed/>
    <w:rsid w:val="004372F5"/>
    <w:pPr>
      <w:spacing w:after="0"/>
      <w:ind w:left="660"/>
    </w:pPr>
    <w:rPr>
      <w:rFonts w:cstheme="minorHAnsi"/>
      <w:sz w:val="20"/>
      <w:szCs w:val="20"/>
    </w:rPr>
  </w:style>
  <w:style w:type="paragraph" w:styleId="Obsah5">
    <w:name w:val="toc 5"/>
    <w:basedOn w:val="Normlny"/>
    <w:next w:val="Normlny"/>
    <w:autoRedefine/>
    <w:uiPriority w:val="39"/>
    <w:semiHidden/>
    <w:unhideWhenUsed/>
    <w:rsid w:val="004372F5"/>
    <w:pPr>
      <w:spacing w:after="0"/>
      <w:ind w:left="880"/>
    </w:pPr>
    <w:rPr>
      <w:rFonts w:cstheme="minorHAnsi"/>
      <w:sz w:val="20"/>
      <w:szCs w:val="20"/>
    </w:rPr>
  </w:style>
  <w:style w:type="paragraph" w:styleId="Obsah6">
    <w:name w:val="toc 6"/>
    <w:basedOn w:val="Normlny"/>
    <w:next w:val="Normlny"/>
    <w:autoRedefine/>
    <w:uiPriority w:val="39"/>
    <w:semiHidden/>
    <w:unhideWhenUsed/>
    <w:rsid w:val="004372F5"/>
    <w:pPr>
      <w:spacing w:after="0"/>
      <w:ind w:left="1100"/>
    </w:pPr>
    <w:rPr>
      <w:rFonts w:cstheme="minorHAnsi"/>
      <w:sz w:val="20"/>
      <w:szCs w:val="20"/>
    </w:rPr>
  </w:style>
  <w:style w:type="paragraph" w:styleId="Obsah7">
    <w:name w:val="toc 7"/>
    <w:basedOn w:val="Normlny"/>
    <w:next w:val="Normlny"/>
    <w:autoRedefine/>
    <w:uiPriority w:val="39"/>
    <w:semiHidden/>
    <w:unhideWhenUsed/>
    <w:rsid w:val="004372F5"/>
    <w:pPr>
      <w:spacing w:after="0"/>
      <w:ind w:left="1320"/>
    </w:pPr>
    <w:rPr>
      <w:rFonts w:cstheme="minorHAnsi"/>
      <w:sz w:val="20"/>
      <w:szCs w:val="20"/>
    </w:rPr>
  </w:style>
  <w:style w:type="paragraph" w:styleId="Obsah8">
    <w:name w:val="toc 8"/>
    <w:basedOn w:val="Normlny"/>
    <w:next w:val="Normlny"/>
    <w:autoRedefine/>
    <w:uiPriority w:val="39"/>
    <w:semiHidden/>
    <w:unhideWhenUsed/>
    <w:rsid w:val="004372F5"/>
    <w:pPr>
      <w:spacing w:after="0"/>
      <w:ind w:left="1540"/>
    </w:pPr>
    <w:rPr>
      <w:rFonts w:cstheme="minorHAnsi"/>
      <w:sz w:val="20"/>
      <w:szCs w:val="20"/>
    </w:rPr>
  </w:style>
  <w:style w:type="paragraph" w:styleId="Obsah9">
    <w:name w:val="toc 9"/>
    <w:basedOn w:val="Normlny"/>
    <w:next w:val="Normlny"/>
    <w:autoRedefine/>
    <w:uiPriority w:val="39"/>
    <w:semiHidden/>
    <w:unhideWhenUsed/>
    <w:rsid w:val="004372F5"/>
    <w:pPr>
      <w:spacing w:after="0"/>
      <w:ind w:left="1760"/>
    </w:pPr>
    <w:rPr>
      <w:rFonts w:cstheme="minorHAnsi"/>
      <w:sz w:val="20"/>
      <w:szCs w:val="20"/>
    </w:rPr>
  </w:style>
  <w:style w:type="character" w:styleId="Odkaznakomentr">
    <w:name w:val="annotation reference"/>
    <w:basedOn w:val="Predvolenpsmoodseku"/>
    <w:uiPriority w:val="99"/>
    <w:semiHidden/>
    <w:unhideWhenUsed/>
    <w:qFormat/>
    <w:rsid w:val="000E2955"/>
    <w:rPr>
      <w:sz w:val="16"/>
      <w:szCs w:val="16"/>
    </w:rPr>
  </w:style>
  <w:style w:type="paragraph" w:styleId="Textkomentra">
    <w:name w:val="annotation text"/>
    <w:basedOn w:val="Normlny"/>
    <w:link w:val="TextkomentraChar"/>
    <w:uiPriority w:val="99"/>
    <w:semiHidden/>
    <w:unhideWhenUsed/>
    <w:rsid w:val="000E2955"/>
    <w:pPr>
      <w:spacing w:line="240" w:lineRule="auto"/>
    </w:pPr>
    <w:rPr>
      <w:sz w:val="20"/>
      <w:szCs w:val="20"/>
    </w:rPr>
  </w:style>
  <w:style w:type="character" w:customStyle="1" w:styleId="TextkomentraChar">
    <w:name w:val="Text komentára Char"/>
    <w:basedOn w:val="Predvolenpsmoodseku"/>
    <w:link w:val="Textkomentra"/>
    <w:uiPriority w:val="99"/>
    <w:semiHidden/>
    <w:rsid w:val="000E2955"/>
    <w:rPr>
      <w:sz w:val="20"/>
      <w:szCs w:val="20"/>
      <w:lang w:val="it-IT"/>
    </w:rPr>
  </w:style>
  <w:style w:type="paragraph" w:styleId="Zkladntext">
    <w:name w:val="Body Text"/>
    <w:basedOn w:val="Normlny"/>
    <w:link w:val="ZkladntextChar"/>
    <w:uiPriority w:val="1"/>
    <w:qFormat/>
    <w:rsid w:val="00B53FDA"/>
    <w:pPr>
      <w:widowControl w:val="0"/>
      <w:autoSpaceDE w:val="0"/>
      <w:autoSpaceDN w:val="0"/>
      <w:spacing w:after="0" w:line="240" w:lineRule="auto"/>
    </w:pPr>
    <w:rPr>
      <w:rFonts w:ascii="Georgia" w:eastAsia="Georgia" w:hAnsi="Georgia" w:cs="Georgia"/>
      <w:sz w:val="19"/>
      <w:szCs w:val="19"/>
      <w:lang w:val="en-US"/>
    </w:rPr>
  </w:style>
  <w:style w:type="character" w:customStyle="1" w:styleId="ZkladntextChar">
    <w:name w:val="Základný text Char"/>
    <w:basedOn w:val="Predvolenpsmoodseku"/>
    <w:link w:val="Zkladntext"/>
    <w:uiPriority w:val="1"/>
    <w:rsid w:val="00B53FDA"/>
    <w:rPr>
      <w:rFonts w:ascii="Georgia" w:eastAsia="Georgia" w:hAnsi="Georgia" w:cs="Georgia"/>
      <w:sz w:val="19"/>
      <w:szCs w:val="19"/>
      <w:lang w:val="en-US"/>
    </w:rPr>
  </w:style>
  <w:style w:type="paragraph" w:customStyle="1" w:styleId="TableParagraph">
    <w:name w:val="Table Paragraph"/>
    <w:basedOn w:val="Normlny"/>
    <w:uiPriority w:val="1"/>
    <w:qFormat/>
    <w:rsid w:val="00B53FDA"/>
    <w:pPr>
      <w:widowControl w:val="0"/>
      <w:autoSpaceDE w:val="0"/>
      <w:autoSpaceDN w:val="0"/>
      <w:spacing w:before="52" w:after="0" w:line="240" w:lineRule="auto"/>
      <w:ind w:left="77"/>
    </w:pPr>
    <w:rPr>
      <w:rFonts w:ascii="Arial" w:eastAsia="Arial" w:hAnsi="Arial" w:cs="Arial"/>
      <w:lang w:val="en-US"/>
    </w:rPr>
  </w:style>
  <w:style w:type="paragraph" w:styleId="Normlnywebov">
    <w:name w:val="Normal (Web)"/>
    <w:basedOn w:val="Normlny"/>
    <w:uiPriority w:val="99"/>
    <w:unhideWhenUsed/>
    <w:rsid w:val="00B53F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bubliny">
    <w:name w:val="Balloon Text"/>
    <w:basedOn w:val="Normlny"/>
    <w:link w:val="TextbublinyChar"/>
    <w:uiPriority w:val="99"/>
    <w:semiHidden/>
    <w:unhideWhenUsed/>
    <w:rsid w:val="00EB6A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6A71"/>
    <w:rPr>
      <w:rFonts w:ascii="Segoe UI" w:hAnsi="Segoe UI" w:cs="Segoe UI"/>
      <w:sz w:val="18"/>
      <w:szCs w:val="18"/>
      <w:lang w:val="it-IT"/>
    </w:rPr>
  </w:style>
  <w:style w:type="table" w:styleId="Mriekatabuky">
    <w:name w:val="Table Grid"/>
    <w:basedOn w:val="Normlnatabuka"/>
    <w:uiPriority w:val="39"/>
    <w:rsid w:val="00DF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0A26D5"/>
    <w:pPr>
      <w:spacing w:after="200" w:line="240" w:lineRule="auto"/>
    </w:pPr>
    <w:rPr>
      <w:i/>
      <w:iCs/>
      <w:color w:val="44546A" w:themeColor="text2"/>
      <w:sz w:val="18"/>
      <w:szCs w:val="18"/>
    </w:rPr>
  </w:style>
  <w:style w:type="paragraph" w:styleId="Podtitul">
    <w:name w:val="Subtitle"/>
    <w:basedOn w:val="Normlny"/>
    <w:next w:val="Normlny"/>
    <w:link w:val="PodtitulChar"/>
    <w:uiPriority w:val="11"/>
    <w:qFormat/>
    <w:rsid w:val="00CF0CC2"/>
    <w:pPr>
      <w:numPr>
        <w:ilvl w:val="1"/>
      </w:numPr>
      <w:spacing w:after="200" w:line="276" w:lineRule="auto"/>
    </w:pPr>
    <w:rPr>
      <w:rFonts w:ascii="Calibri" w:eastAsiaTheme="majorEastAsia" w:hAnsi="Calibri" w:cstheme="majorBidi"/>
      <w:color w:val="595959" w:themeColor="text1" w:themeTint="A6"/>
      <w:spacing w:val="15"/>
      <w:sz w:val="28"/>
      <w:szCs w:val="28"/>
      <w:lang w:val="en-GB" w:eastAsia="it-IT"/>
    </w:rPr>
  </w:style>
  <w:style w:type="character" w:customStyle="1" w:styleId="PodtitulChar">
    <w:name w:val="Podtitul Char"/>
    <w:basedOn w:val="Predvolenpsmoodseku"/>
    <w:link w:val="Podtitul"/>
    <w:uiPriority w:val="11"/>
    <w:rsid w:val="00CF0CC2"/>
    <w:rPr>
      <w:rFonts w:ascii="Calibri" w:eastAsiaTheme="majorEastAsia" w:hAnsi="Calibri" w:cstheme="majorBidi"/>
      <w:color w:val="595959" w:themeColor="text1" w:themeTint="A6"/>
      <w:spacing w:val="15"/>
      <w:sz w:val="28"/>
      <w:szCs w:val="28"/>
      <w:lang w:val="en-GB" w:eastAsia="it-IT"/>
    </w:rPr>
  </w:style>
  <w:style w:type="paragraph" w:customStyle="1" w:styleId="Subtitle1">
    <w:name w:val="Subtitle1"/>
    <w:basedOn w:val="Normlny"/>
    <w:link w:val="subtitleChar"/>
    <w:qFormat/>
    <w:rsid w:val="00CF0CC2"/>
    <w:pPr>
      <w:spacing w:after="0" w:line="240" w:lineRule="auto"/>
      <w:jc w:val="both"/>
    </w:pPr>
    <w:rPr>
      <w:rFonts w:eastAsia="Times New Roman" w:cstheme="minorHAnsi"/>
      <w:lang w:val="en-GB" w:eastAsia="pl-PL"/>
    </w:rPr>
  </w:style>
  <w:style w:type="character" w:customStyle="1" w:styleId="subtitleChar">
    <w:name w:val="subtitle Char"/>
    <w:basedOn w:val="Predvolenpsmoodseku"/>
    <w:link w:val="Subtitle1"/>
    <w:rsid w:val="00CF0CC2"/>
    <w:rPr>
      <w:rFonts w:eastAsia="Times New Roman" w:cstheme="minorHAnsi"/>
      <w:lang w:val="en-GB" w:eastAsia="pl-PL"/>
    </w:rPr>
  </w:style>
  <w:style w:type="paragraph" w:styleId="Hlavika">
    <w:name w:val="header"/>
    <w:basedOn w:val="Normlny"/>
    <w:link w:val="HlavikaChar"/>
    <w:uiPriority w:val="99"/>
    <w:unhideWhenUsed/>
    <w:rsid w:val="000238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38BD"/>
    <w:rPr>
      <w:lang w:val="it-IT"/>
    </w:rPr>
  </w:style>
  <w:style w:type="paragraph" w:styleId="Predmetkomentra">
    <w:name w:val="annotation subject"/>
    <w:basedOn w:val="Textkomentra"/>
    <w:next w:val="Textkomentra"/>
    <w:link w:val="PredmetkomentraChar"/>
    <w:uiPriority w:val="99"/>
    <w:semiHidden/>
    <w:unhideWhenUsed/>
    <w:rsid w:val="00883102"/>
    <w:rPr>
      <w:b/>
      <w:bCs/>
    </w:rPr>
  </w:style>
  <w:style w:type="character" w:customStyle="1" w:styleId="PredmetkomentraChar">
    <w:name w:val="Predmet komentára Char"/>
    <w:basedOn w:val="TextkomentraChar"/>
    <w:link w:val="Predmetkomentra"/>
    <w:uiPriority w:val="99"/>
    <w:semiHidden/>
    <w:rsid w:val="00883102"/>
    <w:rPr>
      <w:b/>
      <w:bCs/>
      <w:sz w:val="20"/>
      <w:szCs w:val="20"/>
      <w:lang w:val="it-IT"/>
    </w:rPr>
  </w:style>
  <w:style w:type="paragraph" w:styleId="Zarkazkladnhotextu">
    <w:name w:val="Body Text Indent"/>
    <w:basedOn w:val="Normlny"/>
    <w:link w:val="ZarkazkladnhotextuChar"/>
    <w:uiPriority w:val="99"/>
    <w:unhideWhenUsed/>
    <w:rsid w:val="006D0CB5"/>
    <w:pPr>
      <w:tabs>
        <w:tab w:val="left" w:pos="5070"/>
      </w:tabs>
      <w:spacing w:line="360" w:lineRule="auto"/>
      <w:ind w:firstLine="709"/>
      <w:contextualSpacing/>
      <w:jc w:val="both"/>
    </w:pPr>
    <w:rPr>
      <w:rFonts w:cstheme="minorHAnsi"/>
      <w:sz w:val="24"/>
      <w:szCs w:val="24"/>
      <w:lang w:val="en-GB"/>
    </w:rPr>
  </w:style>
  <w:style w:type="character" w:customStyle="1" w:styleId="ZarkazkladnhotextuChar">
    <w:name w:val="Zarážka základného textu Char"/>
    <w:basedOn w:val="Predvolenpsmoodseku"/>
    <w:link w:val="Zarkazkladnhotextu"/>
    <w:uiPriority w:val="99"/>
    <w:rsid w:val="006D0CB5"/>
    <w:rPr>
      <w:rFonts w:cstheme="minorHAnsi"/>
      <w:sz w:val="24"/>
      <w:szCs w:val="24"/>
      <w:lang w:val="en-GB"/>
    </w:rPr>
  </w:style>
  <w:style w:type="paragraph" w:styleId="Zarkazkladnhotextu2">
    <w:name w:val="Body Text Indent 2"/>
    <w:basedOn w:val="Normlny"/>
    <w:link w:val="Zarkazkladnhotextu2Char"/>
    <w:uiPriority w:val="99"/>
    <w:unhideWhenUsed/>
    <w:rsid w:val="009F0436"/>
    <w:pPr>
      <w:spacing w:line="360" w:lineRule="auto"/>
      <w:ind w:firstLine="708"/>
      <w:jc w:val="both"/>
    </w:pPr>
    <w:rPr>
      <w:sz w:val="24"/>
      <w:lang w:val="en-GB"/>
    </w:rPr>
  </w:style>
  <w:style w:type="character" w:customStyle="1" w:styleId="Zarkazkladnhotextu2Char">
    <w:name w:val="Zarážka základného textu 2 Char"/>
    <w:basedOn w:val="Predvolenpsmoodseku"/>
    <w:link w:val="Zarkazkladnhotextu2"/>
    <w:uiPriority w:val="99"/>
    <w:rsid w:val="009F0436"/>
    <w:rPr>
      <w:sz w:val="24"/>
      <w:lang w:val="en-GB"/>
    </w:rPr>
  </w:style>
  <w:style w:type="character" w:customStyle="1" w:styleId="UnresolvedMention">
    <w:name w:val="Unresolved Mention"/>
    <w:basedOn w:val="Predvolenpsmoodseku"/>
    <w:uiPriority w:val="99"/>
    <w:semiHidden/>
    <w:unhideWhenUsed/>
    <w:rsid w:val="00941BEF"/>
    <w:rPr>
      <w:color w:val="605E5C"/>
      <w:shd w:val="clear" w:color="auto" w:fill="E1DFDD"/>
    </w:rPr>
  </w:style>
  <w:style w:type="paragraph" w:styleId="Zarkazkladnhotextu3">
    <w:name w:val="Body Text Indent 3"/>
    <w:basedOn w:val="Normlny"/>
    <w:link w:val="Zarkazkladnhotextu3Char"/>
    <w:uiPriority w:val="99"/>
    <w:unhideWhenUsed/>
    <w:rsid w:val="00755845"/>
    <w:pPr>
      <w:spacing w:line="360" w:lineRule="auto"/>
      <w:ind w:left="60" w:firstLine="360"/>
      <w:contextualSpacing/>
      <w:jc w:val="both"/>
    </w:pPr>
    <w:rPr>
      <w:rFonts w:cstheme="minorHAnsi"/>
      <w:sz w:val="24"/>
      <w:lang w:val="en-GB"/>
    </w:rPr>
  </w:style>
  <w:style w:type="character" w:customStyle="1" w:styleId="Zarkazkladnhotextu3Char">
    <w:name w:val="Zarážka základného textu 3 Char"/>
    <w:basedOn w:val="Predvolenpsmoodseku"/>
    <w:link w:val="Zarkazkladnhotextu3"/>
    <w:uiPriority w:val="99"/>
    <w:rsid w:val="00755845"/>
    <w:rPr>
      <w:rFonts w:cstheme="minorHAnsi"/>
      <w:sz w:val="24"/>
      <w:lang w:val="en-GB"/>
    </w:rPr>
  </w:style>
  <w:style w:type="paragraph" w:styleId="Zkladntext2">
    <w:name w:val="Body Text 2"/>
    <w:basedOn w:val="Normlny"/>
    <w:link w:val="Zkladntext2Char"/>
    <w:uiPriority w:val="99"/>
    <w:unhideWhenUsed/>
    <w:rsid w:val="002B2995"/>
    <w:pPr>
      <w:spacing w:line="360" w:lineRule="auto"/>
      <w:jc w:val="both"/>
    </w:pPr>
    <w:rPr>
      <w:sz w:val="24"/>
      <w:szCs w:val="24"/>
    </w:rPr>
  </w:style>
  <w:style w:type="character" w:customStyle="1" w:styleId="Zkladntext2Char">
    <w:name w:val="Základný text 2 Char"/>
    <w:basedOn w:val="Predvolenpsmoodseku"/>
    <w:link w:val="Zkladntext2"/>
    <w:uiPriority w:val="99"/>
    <w:rsid w:val="002B2995"/>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819434">
      <w:bodyDiv w:val="1"/>
      <w:marLeft w:val="0"/>
      <w:marRight w:val="0"/>
      <w:marTop w:val="0"/>
      <w:marBottom w:val="0"/>
      <w:divBdr>
        <w:top w:val="none" w:sz="0" w:space="0" w:color="auto"/>
        <w:left w:val="none" w:sz="0" w:space="0" w:color="auto"/>
        <w:bottom w:val="none" w:sz="0" w:space="0" w:color="auto"/>
        <w:right w:val="none" w:sz="0" w:space="0" w:color="auto"/>
      </w:divBdr>
    </w:div>
    <w:div w:id="1679311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found.europa.eu/en/publications/2018/representativeness-european-social-partner-organisations-hotels-restaurants-and" TargetMode="External"/><Relationship Id="rId18" Type="http://schemas.openxmlformats.org/officeDocument/2006/relationships/hyperlink" Target="https://4liberty.eu/bulgarias-new-minimum-wage-mechanism-needs-urgent-repai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ias.s3.eu-central-1.amazonaws.com/website/uploads/ICTWSS_6_1_Dataset.xlsx" TargetMode="External"/><Relationship Id="rId7" Type="http://schemas.openxmlformats.org/officeDocument/2006/relationships/endnotes" Target="endnotes.xml"/><Relationship Id="rId12" Type="http://schemas.openxmlformats.org/officeDocument/2006/relationships/hyperlink" Target="https://www.eurofound.europa.eu/en/publications/2017/representativeness-european-social-partner-organisations-railways-and-urban" TargetMode="External"/><Relationship Id="rId17" Type="http://schemas.openxmlformats.org/officeDocument/2006/relationships/hyperlink" Target="https://www.etui.org/sites/default/files/ez_import/CB1-Chapitre+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ngle-market-economy.ec.europa.eu/document/download/14ba04a4-6c84-4064-a64e-944dbd81f62b_ro" TargetMode="External"/><Relationship Id="rId20" Type="http://schemas.openxmlformats.org/officeDocument/2006/relationships/hyperlink" Target="https://tuac.org/wp-content/uploads/2024/06/Bulgaria-Accession-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found.europa.eu/en/publications/2015/representativeness-european-social-partner-organisations-construction-secto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urofound.europa.eu/en/publications/eurofound-paper/2024/bulgaria-metadata-eurofound-database-collective-agreements-low"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link.springer.com/book/10.1057/978113746108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eurofound.europa.eu/system/files/2020-10/wpef20022.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si.bg/sites/default/files/files/publications/Strzapl2018.pdf" TargetMode="External"/><Relationship Id="rId13" Type="http://schemas.openxmlformats.org/officeDocument/2006/relationships/hyperlink" Target="https://normlex.ilo.org/dyn/normlex/en/f?p=1000:11300:0::NO:11300:P11300_INSTRUMENT_ID:312276" TargetMode="External"/><Relationship Id="rId3" Type="http://schemas.openxmlformats.org/officeDocument/2006/relationships/hyperlink" Target="https://economy-finance.ec.europa.eu/economic-surveillance-eu-economies/bulgaria/economic-forecast-bulgaria_en" TargetMode="External"/><Relationship Id="rId7" Type="http://schemas.openxmlformats.org/officeDocument/2006/relationships/hyperlink" Target="https://www.eurofound.europa.eu/en/resources/article/2023/minimum-wage-hikes-struggle-offset-inflation" TargetMode="External"/><Relationship Id="rId12" Type="http://schemas.openxmlformats.org/officeDocument/2006/relationships/hyperlink" Target="https://www.eurofound.europa.eu/sites/default/files/ef_publication/field_ef_document/ef19028en.pdf" TargetMode="External"/><Relationship Id="rId2" Type="http://schemas.openxmlformats.org/officeDocument/2006/relationships/hyperlink" Target="mailto:marta.kahancova@celsi.sk" TargetMode="External"/><Relationship Id="rId16" Type="http://schemas.openxmlformats.org/officeDocument/2006/relationships/hyperlink" Target="https://www.nipa.bg/%D1%81%D0%BF%D1%80%D0%B0%D0%B2%D0%BA%D0%B0-%D0%BF%D0%BE-%D0%B5%D0%B8%D0%BA/?lang=EN" TargetMode="External"/><Relationship Id="rId1" Type="http://schemas.openxmlformats.org/officeDocument/2006/relationships/hyperlink" Target="mailto:kristina.gotthardova@celsi.sk" TargetMode="External"/><Relationship Id="rId6" Type="http://schemas.openxmlformats.org/officeDocument/2006/relationships/hyperlink" Target="https://shorturl.at/NMOPb" TargetMode="External"/><Relationship Id="rId11" Type="http://schemas.openxmlformats.org/officeDocument/2006/relationships/hyperlink" Target="https://www.oecd.org/els/emp/DetailedMethodnote-MW-OECD-AIAS_DB.pdf" TargetMode="External"/><Relationship Id="rId5" Type="http://schemas.openxmlformats.org/officeDocument/2006/relationships/hyperlink" Target="https://seenews.com/news/bulgarias-hourly-labour-costs-rise-16-percent-yy-in-q1-1259458" TargetMode="External"/><Relationship Id="rId15" Type="http://schemas.openxmlformats.org/officeDocument/2006/relationships/hyperlink" Target="https://single-market-economy.ec.europa.eu/system/files/2021-11/ECSO_CFS_Bulgaria_2021.pdf" TargetMode="External"/><Relationship Id="rId10" Type="http://schemas.openxmlformats.org/officeDocument/2006/relationships/hyperlink" Target="https://wageindicator.org/labour-laws/labour-law-around-the-world/minimum-wages-regulations/minimum-wages-regulations-bulgaria" TargetMode="External"/><Relationship Id="rId4" Type="http://schemas.openxmlformats.org/officeDocument/2006/relationships/hyperlink" Target="https://www.worldbank.org/en/country/bulgaria/overview" TargetMode="External"/><Relationship Id="rId9" Type="http://schemas.openxmlformats.org/officeDocument/2006/relationships/hyperlink" Target="https://lex.bg/laws/ldoc/1594373121" TargetMode="External"/><Relationship Id="rId14" Type="http://schemas.openxmlformats.org/officeDocument/2006/relationships/hyperlink" Target="https://www.parliament.bg/en/news/ID/589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EB75-9A43-4367-A851-ADCE023C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24</Pages>
  <Words>7189</Words>
  <Characters>40981</Characters>
  <Application>Microsoft Office Word</Application>
  <DocSecurity>0</DocSecurity>
  <Lines>341</Lines>
  <Paragraphs>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80</cp:revision>
  <dcterms:created xsi:type="dcterms:W3CDTF">2024-06-14T10:40:00Z</dcterms:created>
  <dcterms:modified xsi:type="dcterms:W3CDTF">2024-08-19T13:15:00Z</dcterms:modified>
</cp:coreProperties>
</file>