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752" w:tblpY="-243"/>
        <w:tblW w:w="10207" w:type="dxa"/>
        <w:tblCellMar>
          <w:left w:w="10" w:type="dxa"/>
          <w:right w:w="10" w:type="dxa"/>
        </w:tblCellMar>
        <w:tblLook w:val="04A0" w:firstRow="1" w:lastRow="0" w:firstColumn="1" w:lastColumn="0" w:noHBand="0" w:noVBand="1"/>
      </w:tblPr>
      <w:tblGrid>
        <w:gridCol w:w="10207"/>
      </w:tblGrid>
      <w:tr w:rsidR="00232BBF" w:rsidRPr="00971200" w14:paraId="229404D3" w14:textId="77777777" w:rsidTr="00CC0A60">
        <w:trPr>
          <w:trHeight w:val="1587"/>
        </w:trPr>
        <w:tc>
          <w:tcPr>
            <w:tcW w:w="10207" w:type="dxa"/>
          </w:tcPr>
          <w:p w14:paraId="6D173CF2" w14:textId="77777777" w:rsidR="00232BBF" w:rsidRPr="002549BC" w:rsidRDefault="009910A1" w:rsidP="00F65688">
            <w:pPr>
              <w:jc w:val="right"/>
              <w:rPr>
                <w:rFonts w:ascii="Calibri Light" w:hAnsi="Calibri Light" w:cs="Calibri Light"/>
              </w:rPr>
            </w:pPr>
            <w:proofErr w:type="spellStart"/>
            <w:r w:rsidRPr="002549BC">
              <w:rPr>
                <w:rFonts w:ascii="Calibri Light" w:hAnsi="Calibri Light" w:cs="Calibri Light"/>
              </w:rPr>
              <w:t>University</w:t>
            </w:r>
            <w:proofErr w:type="spellEnd"/>
            <w:r w:rsidRPr="002549BC">
              <w:rPr>
                <w:rFonts w:ascii="Calibri Light" w:hAnsi="Calibri Light" w:cs="Calibri Light"/>
              </w:rPr>
              <w:t xml:space="preserve"> of South-</w:t>
            </w:r>
            <w:proofErr w:type="spellStart"/>
            <w:r w:rsidRPr="002549BC">
              <w:rPr>
                <w:rFonts w:ascii="Calibri Light" w:hAnsi="Calibri Light" w:cs="Calibri Light"/>
              </w:rPr>
              <w:t>Eastern</w:t>
            </w:r>
            <w:proofErr w:type="spellEnd"/>
            <w:r w:rsidRPr="002549BC">
              <w:rPr>
                <w:rFonts w:ascii="Calibri Light" w:hAnsi="Calibri Light" w:cs="Calibri Light"/>
              </w:rPr>
              <w:t xml:space="preserve"> </w:t>
            </w:r>
            <w:proofErr w:type="spellStart"/>
            <w:r w:rsidRPr="002549BC">
              <w:rPr>
                <w:rFonts w:ascii="Calibri Light" w:hAnsi="Calibri Light" w:cs="Calibri Light"/>
              </w:rPr>
              <w:t>Norway</w:t>
            </w:r>
            <w:proofErr w:type="spellEnd"/>
            <w:r w:rsidRPr="002549BC">
              <w:rPr>
                <w:rFonts w:ascii="Calibri Light" w:hAnsi="Calibri Light" w:cs="Calibri Light"/>
              </w:rPr>
              <w:t xml:space="preserve"> </w:t>
            </w:r>
          </w:p>
          <w:p w14:paraId="2F8A03D4" w14:textId="77777777" w:rsidR="00232BBF" w:rsidRDefault="00232BBF" w:rsidP="00F65688">
            <w:pPr>
              <w:jc w:val="right"/>
            </w:pPr>
            <w:r>
              <w:t>–</w:t>
            </w:r>
          </w:p>
          <w:p w14:paraId="5CC1B5DA" w14:textId="77777777" w:rsidR="00CC0A60" w:rsidRDefault="0015770E" w:rsidP="00CC0A60">
            <w:pPr>
              <w:jc w:val="right"/>
              <w:rPr>
                <w:rFonts w:ascii="Calibri" w:hAnsi="Calibri"/>
                <w:b/>
                <w:color w:val="7E9492" w:themeColor="text2"/>
              </w:rPr>
            </w:pPr>
            <w:r>
              <w:rPr>
                <w:rFonts w:ascii="Calibri" w:hAnsi="Calibri"/>
                <w:b/>
                <w:color w:val="7E9492" w:themeColor="text2"/>
              </w:rPr>
              <w:t>Katedra štúdií v oblasti zdravia, sociálnych vecí a životných podmienok</w:t>
            </w:r>
          </w:p>
          <w:p w14:paraId="0E6A643C" w14:textId="77777777" w:rsidR="00232BBF" w:rsidRPr="00971200" w:rsidRDefault="009332CD" w:rsidP="00CC0A60">
            <w:pPr>
              <w:jc w:val="right"/>
              <w:rPr>
                <w:rFonts w:ascii="Calibri" w:hAnsi="Calibri"/>
                <w:b/>
                <w:color w:val="7E9492" w:themeColor="text2"/>
              </w:rPr>
            </w:pPr>
            <w:r>
              <w:rPr>
                <w:rFonts w:ascii="Calibri" w:hAnsi="Calibri"/>
                <w:b/>
                <w:color w:val="7E9492" w:themeColor="text2"/>
              </w:rPr>
              <w:t>2020</w:t>
            </w:r>
          </w:p>
        </w:tc>
      </w:tr>
      <w:tr w:rsidR="00232BBF" w:rsidRPr="009910A1" w14:paraId="1D46BAC9" w14:textId="77777777" w:rsidTr="00CC0A60">
        <w:trPr>
          <w:trHeight w:val="2799"/>
        </w:trPr>
        <w:tc>
          <w:tcPr>
            <w:tcW w:w="10207" w:type="dxa"/>
            <w:vAlign w:val="bottom"/>
          </w:tcPr>
          <w:p w14:paraId="2389E0E1" w14:textId="77777777" w:rsidR="009910A1" w:rsidRDefault="00244B9A" w:rsidP="009910A1">
            <w:pPr>
              <w:spacing w:line="276" w:lineRule="auto"/>
              <w:jc w:val="left"/>
              <w:rPr>
                <w:b/>
                <w:sz w:val="40"/>
                <w:szCs w:val="40"/>
              </w:rPr>
            </w:pPr>
            <w:r>
              <w:rPr>
                <w:b/>
                <w:sz w:val="40"/>
                <w:szCs w:val="40"/>
              </w:rPr>
              <w:t>Stručná správa o politikách a opatreniach inklúzie v</w:t>
            </w:r>
            <w:r w:rsidR="002549BC">
              <w:rPr>
                <w:b/>
                <w:sz w:val="40"/>
                <w:szCs w:val="40"/>
              </w:rPr>
              <w:t> </w:t>
            </w:r>
            <w:r>
              <w:rPr>
                <w:b/>
                <w:sz w:val="40"/>
                <w:szCs w:val="40"/>
              </w:rPr>
              <w:t>pracovnej sfére pre ľudí s</w:t>
            </w:r>
            <w:r w:rsidR="002549BC">
              <w:rPr>
                <w:b/>
                <w:sz w:val="40"/>
                <w:szCs w:val="40"/>
              </w:rPr>
              <w:t> </w:t>
            </w:r>
            <w:r>
              <w:rPr>
                <w:b/>
                <w:sz w:val="40"/>
                <w:szCs w:val="40"/>
              </w:rPr>
              <w:t>nepriaznivým zdravotným stavom v</w:t>
            </w:r>
            <w:r w:rsidR="00722C9B">
              <w:rPr>
                <w:b/>
                <w:sz w:val="40"/>
                <w:szCs w:val="40"/>
              </w:rPr>
              <w:t> </w:t>
            </w:r>
            <w:r>
              <w:rPr>
                <w:b/>
                <w:sz w:val="40"/>
                <w:szCs w:val="40"/>
              </w:rPr>
              <w:t>Nórsku</w:t>
            </w:r>
          </w:p>
          <w:p w14:paraId="7B84E37D" w14:textId="77777777" w:rsidR="00722C9B" w:rsidRPr="00722C9B" w:rsidRDefault="00722C9B" w:rsidP="009910A1">
            <w:pPr>
              <w:spacing w:line="276" w:lineRule="auto"/>
              <w:jc w:val="left"/>
              <w:rPr>
                <w:rFonts w:cs="Times New Roman"/>
                <w:sz w:val="32"/>
                <w:szCs w:val="32"/>
              </w:rPr>
            </w:pPr>
            <w:r w:rsidRPr="00722C9B">
              <w:rPr>
                <w:sz w:val="32"/>
                <w:szCs w:val="32"/>
              </w:rPr>
              <w:t xml:space="preserve">Autor: Prof. </w:t>
            </w:r>
            <w:proofErr w:type="spellStart"/>
            <w:r w:rsidRPr="00722C9B">
              <w:rPr>
                <w:sz w:val="32"/>
                <w:szCs w:val="32"/>
              </w:rPr>
              <w:t>Steffen</w:t>
            </w:r>
            <w:proofErr w:type="spellEnd"/>
            <w:r w:rsidRPr="00722C9B">
              <w:rPr>
                <w:sz w:val="32"/>
                <w:szCs w:val="32"/>
              </w:rPr>
              <w:t xml:space="preserve"> </w:t>
            </w:r>
            <w:proofErr w:type="spellStart"/>
            <w:r w:rsidRPr="00722C9B">
              <w:rPr>
                <w:sz w:val="32"/>
                <w:szCs w:val="32"/>
              </w:rPr>
              <w:t>Torp</w:t>
            </w:r>
            <w:proofErr w:type="spellEnd"/>
          </w:p>
          <w:p w14:paraId="341824C0" w14:textId="77777777" w:rsidR="00232BBF" w:rsidRPr="000F105D" w:rsidRDefault="00232BBF" w:rsidP="00F65688">
            <w:pPr>
              <w:spacing w:line="240" w:lineRule="auto"/>
              <w:jc w:val="left"/>
            </w:pPr>
          </w:p>
        </w:tc>
      </w:tr>
    </w:tbl>
    <w:sdt>
      <w:sdtPr>
        <w:id w:val="1684701761"/>
        <w:docPartObj>
          <w:docPartGallery w:val="Cover Pages"/>
          <w:docPartUnique/>
        </w:docPartObj>
      </w:sdtPr>
      <w:sdtEndPr>
        <w:rPr>
          <w:b/>
        </w:rPr>
      </w:sdtEndPr>
      <w:sdtContent>
        <w:p w14:paraId="3D786D1D" w14:textId="77777777" w:rsidR="00232BBF" w:rsidRPr="00232BBF" w:rsidRDefault="00232BBF" w:rsidP="00F65688">
          <w:pPr>
            <w:jc w:val="left"/>
            <w:rPr>
              <w:lang w:val="nb-NO"/>
            </w:rPr>
          </w:pPr>
        </w:p>
        <w:p w14:paraId="4FFEBEEF" w14:textId="77777777" w:rsidR="00232BBF" w:rsidRPr="00232BBF" w:rsidRDefault="00232BBF" w:rsidP="00F65688">
          <w:pPr>
            <w:jc w:val="left"/>
            <w:rPr>
              <w:lang w:val="nb-NO"/>
            </w:rPr>
          </w:pPr>
        </w:p>
        <w:p w14:paraId="7AEFC903" w14:textId="77777777" w:rsidR="00232BBF" w:rsidRPr="00232BBF" w:rsidRDefault="00232BBF" w:rsidP="00F65688">
          <w:pPr>
            <w:jc w:val="left"/>
            <w:rPr>
              <w:lang w:val="nb-NO"/>
            </w:rPr>
          </w:pPr>
        </w:p>
        <w:p w14:paraId="5BFF7166" w14:textId="77777777" w:rsidR="002D1676" w:rsidRDefault="00232BBF" w:rsidP="002D1676">
          <w:pPr>
            <w:spacing w:line="240" w:lineRule="auto"/>
            <w:jc w:val="left"/>
            <w:rPr>
              <w:b/>
            </w:rPr>
          </w:pPr>
          <w:r>
            <w:br w:type="page"/>
          </w:r>
        </w:p>
      </w:sdtContent>
    </w:sdt>
    <w:p w14:paraId="71AE32E3" w14:textId="77777777" w:rsidR="003A6588" w:rsidRDefault="003A6588">
      <w:pPr>
        <w:spacing w:line="240" w:lineRule="auto"/>
        <w:jc w:val="left"/>
        <w:rPr>
          <w:lang w:val="en-GB"/>
        </w:rPr>
      </w:pPr>
    </w:p>
    <w:p w14:paraId="42E330B1" w14:textId="77777777" w:rsidR="00AB6BF3" w:rsidRPr="00432F84" w:rsidRDefault="00AB6BF3" w:rsidP="00F65688">
      <w:pPr>
        <w:jc w:val="left"/>
        <w:rPr>
          <w:lang w:val="nb-NO"/>
        </w:rPr>
        <w:sectPr w:rsidR="00AB6BF3" w:rsidRPr="00432F84" w:rsidSect="00232BBF">
          <w:headerReference w:type="even" r:id="rId8"/>
          <w:footerReference w:type="even" r:id="rId9"/>
          <w:footerReference w:type="default" r:id="rId10"/>
          <w:headerReference w:type="first" r:id="rId11"/>
          <w:footerReference w:type="first" r:id="rId12"/>
          <w:type w:val="continuous"/>
          <w:pgSz w:w="11900" w:h="16840"/>
          <w:pgMar w:top="1134" w:right="1134" w:bottom="1440" w:left="1134" w:header="709" w:footer="561" w:gutter="0"/>
          <w:pgNumType w:fmt="upperRoman" w:start="1"/>
          <w:cols w:space="708"/>
          <w:titlePg/>
          <w:docGrid w:linePitch="360"/>
        </w:sectPr>
      </w:pPr>
    </w:p>
    <w:p w14:paraId="20CFC474" w14:textId="77777777" w:rsidR="00670457" w:rsidRPr="00244B9A" w:rsidRDefault="007346A6" w:rsidP="00F268B4">
      <w:pPr>
        <w:pStyle w:val="Heading1"/>
        <w:numPr>
          <w:ilvl w:val="0"/>
          <w:numId w:val="17"/>
        </w:numPr>
        <w:spacing w:after="0"/>
        <w:jc w:val="left"/>
        <w:rPr>
          <w:rFonts w:cs="Times New Roman"/>
          <w:sz w:val="32"/>
        </w:rPr>
      </w:pPr>
      <w:r>
        <w:rPr>
          <w:sz w:val="32"/>
        </w:rPr>
        <w:lastRenderedPageBreak/>
        <w:t>Úvod</w:t>
      </w:r>
    </w:p>
    <w:p w14:paraId="5DB05AEC" w14:textId="77777777" w:rsidR="00670457" w:rsidRDefault="00670457" w:rsidP="00670457">
      <w:pPr>
        <w:rPr>
          <w:rFonts w:cs="Times New Roman"/>
        </w:rPr>
      </w:pPr>
      <w:r>
        <w:t>Táto stručná správa bola vytvorená ako súčasť projektu realizovaného na Slovensku: Chcem pracovať, kto mi pomôže? Správa je zhrnutím kompletnej štúdie vypracovanej v anglickom jazyku</w:t>
      </w:r>
      <w:r w:rsidR="0099611C">
        <w:rPr>
          <w:rStyle w:val="FootnoteReference"/>
          <w:rFonts w:cs="Times New Roman"/>
          <w:lang w:val="en-GB"/>
        </w:rPr>
        <w:footnoteReference w:id="1"/>
      </w:r>
      <w:r>
        <w:t>.</w:t>
      </w:r>
    </w:p>
    <w:p w14:paraId="519D0632" w14:textId="77777777" w:rsidR="00641858" w:rsidRPr="0057105F" w:rsidRDefault="00670457" w:rsidP="00C97A10">
      <w:pPr>
        <w:ind w:firstLine="720"/>
        <w:rPr>
          <w:rFonts w:cs="Times New Roman"/>
        </w:rPr>
      </w:pPr>
      <w:r>
        <w:t>Nórsko má populáciu 5,3 milióna obyvateľov a nie je súčasťou Európskej únie (EÚ), ale je s ňou od roku 1992 úzko prepojené prostredníctvom Dohody o Európskom hospodárskom priestore (EHP). Nórsko je kapitalistická ekonomika so zmiešaným trhovým systémom s vysokou mierou súkromného vlastníctva v</w:t>
      </w:r>
      <w:r w:rsidR="002549BC">
        <w:t> </w:t>
      </w:r>
      <w:r>
        <w:t>kombinácii s veľkým počtom podnikov v štátnom vlastníctve a podielov štátu vo verejne obchodovaných podnikoch. Z komparatívneho pohľadu sa zabezpečenie životných podmienok v Nórsku považuje skôr za štedré a zahŕňa univerzálne dostupnú zdravotnú starostlivosť a komplexný systém sociálneho zabezpečenia. Väčšinu služieb v oblasti zdravotníctva, sociálnej starostlivosti a dôchodkov poskytuje verejná sféra a</w:t>
      </w:r>
      <w:r w:rsidR="002549BC">
        <w:t> </w:t>
      </w:r>
      <w:r>
        <w:t>financuje ich štát. Súkromné zdravotné a sociálne poistenie preto nie je potrebné.</w:t>
      </w:r>
    </w:p>
    <w:p w14:paraId="10038CAD" w14:textId="77777777" w:rsidR="007346A6" w:rsidRDefault="00641858" w:rsidP="00C97A10">
      <w:pPr>
        <w:ind w:firstLine="360"/>
        <w:rPr>
          <w:rFonts w:cs="Times New Roman"/>
        </w:rPr>
      </w:pPr>
      <w:r>
        <w:t xml:space="preserve">Bežný týždenný pracovný čas je 37,5 hod. Štandardný vek odchodu do dôchodku je 67 rokov. Zamestnávatelia sú zamestnancom povinní poskytovať schválenú pracovnú zdravotnú službu, ak si to vyžadujú rizikové faktory v danom podniku (70 % podnikov). Pracovná zdravotná služba je pre zamestnancov bezplatná, pričom zamestnávateľ hradí náklady všetkých služieb. Pracovná zdravotná služba musí pomáhať zamestnávateľom a zamestnancom pri vytváraní bezpečných pracovných podmienok, to znamená zabezpečiť primárnu a sekundárnu prevenciu a </w:t>
      </w:r>
      <w:r>
        <w:rPr>
          <w:i/>
        </w:rPr>
        <w:t>nie</w:t>
      </w:r>
      <w:r>
        <w:t xml:space="preserve"> vykonávať klinické vyšetrenia zamestnancov a</w:t>
      </w:r>
      <w:r w:rsidR="002549BC">
        <w:t> </w:t>
      </w:r>
      <w:r>
        <w:t xml:space="preserve">pacientov. </w:t>
      </w:r>
    </w:p>
    <w:p w14:paraId="73387A86" w14:textId="77777777" w:rsidR="00C97A10" w:rsidRDefault="00C97A10" w:rsidP="00C97A10">
      <w:pPr>
        <w:ind w:firstLine="360"/>
        <w:rPr>
          <w:rFonts w:cs="Times New Roman"/>
        </w:rPr>
      </w:pPr>
      <w:r>
        <w:t>Pracovníci v Nórsku sú spokojnejší s prácou (94 %) ako pracovníci v akejkoľvek inej európskej krajine (priemer EÚ = 86 %). Fyzické zdravie pracovníkov v Nórsku je približne rovnaké ako priemer krajín EÚ, pričom vykazujú lepšie mentálne zdravie. Nórsko má najvyššiu priemernú mieru neprítomnosti v práci z</w:t>
      </w:r>
      <w:r w:rsidR="002549BC">
        <w:t> </w:t>
      </w:r>
      <w:r>
        <w:t>dôvodu choroby v Európe.</w:t>
      </w:r>
    </w:p>
    <w:p w14:paraId="58C150ED" w14:textId="77777777" w:rsidR="007346A6" w:rsidRPr="000F105D" w:rsidRDefault="007346A6" w:rsidP="007346A6">
      <w:pPr>
        <w:rPr>
          <w:rFonts w:cs="Times New Roman"/>
        </w:rPr>
      </w:pPr>
    </w:p>
    <w:p w14:paraId="0B4A83D2" w14:textId="77777777" w:rsidR="00DB5403" w:rsidRPr="00244B9A" w:rsidRDefault="00DB5403" w:rsidP="00DB5403">
      <w:pPr>
        <w:pStyle w:val="Heading1"/>
        <w:numPr>
          <w:ilvl w:val="0"/>
          <w:numId w:val="17"/>
        </w:numPr>
        <w:rPr>
          <w:sz w:val="32"/>
        </w:rPr>
      </w:pPr>
      <w:r>
        <w:rPr>
          <w:sz w:val="32"/>
        </w:rPr>
        <w:t>Podporné opatrenia</w:t>
      </w:r>
    </w:p>
    <w:p w14:paraId="44AFBC19" w14:textId="77777777" w:rsidR="007346A6" w:rsidRDefault="007346A6" w:rsidP="007346A6">
      <w:pPr>
        <w:rPr>
          <w:rFonts w:cs="Times New Roman"/>
        </w:rPr>
      </w:pPr>
      <w:r>
        <w:t xml:space="preserve">Všetci platení zamestnanci majú garantované pracovné voľno počas obdobia práceneschopnosti od prvého dňa a na dobu jedného roka. Väčšina ľudí dostáva počas obdobia práceneschopnosti dávku vo výške 100 % príjmu, ktorý mali tesne pred začiatkom doby práceneschopnosti. Po jednom roku trvania obdobia práceneschopnosti môže zamestnanec požiadať agentúru NAV o dávku pri zníženej pracovnej schopnosti, ak ju má zníženú najmenej o 50 %. Cieľom obdobia poskytovania dávky pri zníženej pracovnej schopnosti je udržanie si existujúceho pracovného miesta alebo získanie novej práce, ktorú zamestnanec dokáže vykonávať. Medzi príslušné opatrenia patrí zdravotná rehabilitácia, zaškolenie na pracovnom mieste a nové vzdelávanie. Obdobie poskytovania dávky pri zníženej pracovnej schopnosti je do 3 rokov, pričom výška dávky je približne 66 % dávky, ktorú jednotlivec poberal počas predchádzajúceho obdobia </w:t>
      </w:r>
      <w:r>
        <w:lastRenderedPageBreak/>
        <w:t>práceneschopnosti. Ak po troch rokoch poskytovania dávky pri zníženej pracovnej schopnosti jednotlivec nezíska pracovné miesto, môže požiadať o invalidný dôchodok. Podľa miery zostávajúcej pracovnej schopnosti sa určí, či má jednotlivec nárok na 100 % invalidného dôchodku alebo na nižšie percento. Dávky invalidného dôchodku predstavujú približne 66 % predchádzajúceho platu zamestnanca. Ľudia, ktorí poberajú invalidný dôchodok (100 % alebo nižšie percento), môžu popri poberaní tejto dávky pracovať podľa svojich možností a vôle. Ak má poberateľ dôchodku príjem do 0,4-násobku sumy verejného poistného základu ročne (v roku 2019: približne 4 000 EUR ročne), nemá to žiaden vplyv na výšku poberaného dôchodku. Ak príjem z práce presiahne túto sumu, dôchodková dávka sa zníži. Skôr než zamestnanec môže požiadať o invalidný dôchodok, musí absolvovať určité liečebné a pracovné aktivity. Výnimkou sú prípady, keď je znížená pracovná schopnosť v dôsledku vážneho ochorenia alebo zranenia s následkom zjavne dlhodobého postihnutia.</w:t>
      </w:r>
    </w:p>
    <w:p w14:paraId="24CFD663" w14:textId="77777777" w:rsidR="007346A6" w:rsidRPr="000F105D" w:rsidRDefault="007346A6" w:rsidP="00670457">
      <w:pPr>
        <w:rPr>
          <w:rFonts w:cs="Times New Roman"/>
        </w:rPr>
      </w:pPr>
    </w:p>
    <w:p w14:paraId="54605C7F" w14:textId="77777777" w:rsidR="00DB5403" w:rsidRPr="00244B9A" w:rsidRDefault="00DB5403" w:rsidP="00DB5403">
      <w:pPr>
        <w:pStyle w:val="Heading1"/>
        <w:numPr>
          <w:ilvl w:val="0"/>
          <w:numId w:val="17"/>
        </w:numPr>
        <w:rPr>
          <w:sz w:val="32"/>
        </w:rPr>
      </w:pPr>
      <w:r>
        <w:rPr>
          <w:sz w:val="32"/>
        </w:rPr>
        <w:t>NAV</w:t>
      </w:r>
    </w:p>
    <w:p w14:paraId="0FC94763" w14:textId="77777777" w:rsidR="00DB5403" w:rsidRDefault="007346A6" w:rsidP="00DB5403">
      <w:pPr>
        <w:rPr>
          <w:rFonts w:cs="Times New Roman"/>
        </w:rPr>
      </w:pPr>
      <w:r>
        <w:t xml:space="preserve">Agentúra NAV je verejná organizácia, ktorá zodpovedá za poskytovanie sociálneho zabezpečenia, starostlivosti a poradenstva občanom. Jedným z hlavných cieľov agentúry NAV je znížiť počet pasívnych ekonomických transferov prostredníctvom lepšej koordinácie a vyššej efektívnosti vďaka aktívnym politikám trhu práce na základe medzinárodných trendov. Jednotlivci, ktorí potrebujú pomoc v oblasti zamestnania a príslušné podporné opatrenia, sa musia obrátiť na poradcov agentúry NAV. Poradcovia sú navyše tiež v kontakte s ošetrujúcim lekárom a zamestnávateľom. V rámci organizácie NAV sú po celej krajine vytvorené Centrá podpory </w:t>
      </w:r>
      <w:proofErr w:type="spellStart"/>
      <w:r>
        <w:t>inkluzívnych</w:t>
      </w:r>
      <w:proofErr w:type="spellEnd"/>
      <w:r>
        <w:t xml:space="preserve"> pracovísk. Tieto sa nezameriavajú na riešenie zdravotných či sociálnych problémov jednotlivcov, ale poskytujú podporu zamestnávateľom a zamestnancom pri vytváraní postupov a kultúry na úrovni podnikov s cieľom poskytnúť jednotlivcom so zníženou pracovnou schopnosťou zaobchádzanie v súlade so zámermi zákona o pracovnom prostredí a takzvanej zmluvy o</w:t>
      </w:r>
      <w:r w:rsidR="002549BC">
        <w:t> </w:t>
      </w:r>
      <w:proofErr w:type="spellStart"/>
      <w:r>
        <w:t>inkluzívnom</w:t>
      </w:r>
      <w:proofErr w:type="spellEnd"/>
      <w:r>
        <w:t xml:space="preserve"> zamestnávaní medzi štátom, zamestnávateľskými zväzmi a odborovými organizáciami zamestnancov. </w:t>
      </w:r>
    </w:p>
    <w:p w14:paraId="37C44CE0" w14:textId="77777777" w:rsidR="00244B9A" w:rsidRPr="000F105D" w:rsidRDefault="00244B9A" w:rsidP="00DB5403">
      <w:pPr>
        <w:rPr>
          <w:rFonts w:cs="Times New Roman"/>
        </w:rPr>
      </w:pPr>
    </w:p>
    <w:p w14:paraId="00C5F1CA" w14:textId="77777777" w:rsidR="00C30E75" w:rsidRPr="00244B9A" w:rsidRDefault="00C30E75" w:rsidP="00C30E75">
      <w:pPr>
        <w:pStyle w:val="Heading1"/>
        <w:numPr>
          <w:ilvl w:val="0"/>
          <w:numId w:val="17"/>
        </w:numPr>
        <w:rPr>
          <w:sz w:val="32"/>
        </w:rPr>
      </w:pPr>
      <w:r>
        <w:rPr>
          <w:sz w:val="32"/>
        </w:rPr>
        <w:t>Štandardné postupy pri práceneschopných zamestnancoch</w:t>
      </w:r>
    </w:p>
    <w:p w14:paraId="44D97FA4" w14:textId="77777777" w:rsidR="00C30E75" w:rsidRDefault="00C30E75" w:rsidP="002549BC">
      <w:pPr>
        <w:rPr>
          <w:rFonts w:cs="Times New Roman"/>
        </w:rPr>
      </w:pPr>
      <w:r>
        <w:t>Zamestnávateľ má dôležitú úlohu podporovať zamestnancov, ktorým sa znížila pracovná schopnosť</w:t>
      </w:r>
      <w:r w:rsidR="00F4329D">
        <w:t xml:space="preserve"> </w:t>
      </w:r>
      <w:r>
        <w:t>v</w:t>
      </w:r>
      <w:r w:rsidR="002549BC">
        <w:t> </w:t>
      </w:r>
      <w:r>
        <w:t>dôsledku choroby, zlého zdravotného stavu a postihnutia, pri návrate do práce alebo zotrvaní v práci. Zamestnávateľ aj zamestnanec musia mať k dispozícii potrebnú podporu v úzkej spolupráci s poradcami agentúry NAV a ďalšími relevantnými inštitúciami. V tabuľke 1 je uvedený podrobný prehľad akcií, zodpovedností a termínov, ktoré sa týkajú práceneschopných zamestnancov, zamestnávateľov, NAV a</w:t>
      </w:r>
      <w:r w:rsidR="002549BC">
        <w:t> </w:t>
      </w:r>
      <w:r>
        <w:t xml:space="preserve">lekárov </w:t>
      </w:r>
      <w:r>
        <w:rPr>
          <w:iCs/>
        </w:rPr>
        <w:t>na pracovisku</w:t>
      </w:r>
      <w:r>
        <w:t xml:space="preserve"> a tam, kde je agentúra NAV viac zapojená do procesov ako poskytovatelia zdravotnej starostlivosti.</w:t>
      </w:r>
    </w:p>
    <w:p w14:paraId="67028554" w14:textId="77777777" w:rsidR="00DB5403" w:rsidRPr="000F105D" w:rsidRDefault="00DB5403" w:rsidP="00DB5403">
      <w:pPr>
        <w:rPr>
          <w:rFonts w:cs="Times New Roman"/>
        </w:rPr>
      </w:pPr>
    </w:p>
    <w:p w14:paraId="66C1C925" w14:textId="77777777" w:rsidR="00C30E75" w:rsidRDefault="00C30E75" w:rsidP="00C30E75">
      <w:pPr>
        <w:ind w:left="-426"/>
        <w:rPr>
          <w:rFonts w:cs="Times New Roman"/>
          <w:i/>
        </w:rPr>
      </w:pPr>
      <w:bookmarkStart w:id="0" w:name="_Toc33193009"/>
      <w:bookmarkStart w:id="1" w:name="_Toc33197634"/>
      <w:bookmarkStart w:id="2" w:name="_Toc33204604"/>
      <w:r>
        <w:rPr>
          <w:b/>
        </w:rPr>
        <w:lastRenderedPageBreak/>
        <w:t>Tabuľka 1.</w:t>
      </w:r>
      <w:r>
        <w:t xml:space="preserve"> </w:t>
      </w:r>
      <w:r>
        <w:rPr>
          <w:i/>
        </w:rPr>
        <w:t>Prehľad zapojených agentúr, činností, zodpovedností a termínov pri podpore návratu práceneschopných zamestnancov do práce.</w:t>
      </w:r>
    </w:p>
    <w:p w14:paraId="334E8448" w14:textId="77777777" w:rsidR="00C30E75" w:rsidRPr="000F105D" w:rsidRDefault="00C30E75" w:rsidP="00C30E75">
      <w:pPr>
        <w:ind w:left="-426"/>
        <w:rPr>
          <w:rFonts w:cs="Times New Roman"/>
          <w:i/>
        </w:rPr>
      </w:pPr>
    </w:p>
    <w:tbl>
      <w:tblPr>
        <w:tblStyle w:val="TableGrid"/>
        <w:tblpPr w:leftFromText="141" w:rightFromText="141" w:vertAnchor="page" w:horzAnchor="margin" w:tblpXSpec="center" w:tblpY="2328"/>
        <w:tblW w:w="11729" w:type="dxa"/>
        <w:tblLook w:val="04A0" w:firstRow="1" w:lastRow="0" w:firstColumn="1" w:lastColumn="0" w:noHBand="0" w:noVBand="1"/>
      </w:tblPr>
      <w:tblGrid>
        <w:gridCol w:w="2129"/>
        <w:gridCol w:w="1588"/>
        <w:gridCol w:w="1738"/>
        <w:gridCol w:w="1562"/>
        <w:gridCol w:w="1588"/>
        <w:gridCol w:w="1562"/>
        <w:gridCol w:w="1562"/>
      </w:tblGrid>
      <w:tr w:rsidR="00F4329D" w:rsidRPr="002549BC" w14:paraId="4F418FE9" w14:textId="77777777" w:rsidTr="000D7230">
        <w:tc>
          <w:tcPr>
            <w:tcW w:w="2129" w:type="dxa"/>
          </w:tcPr>
          <w:p w14:paraId="663590F3" w14:textId="77777777" w:rsidR="00F4329D" w:rsidRPr="002549BC" w:rsidRDefault="00F4329D" w:rsidP="00F4329D">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Termíny, úlohy a povinnosti</w:t>
            </w:r>
          </w:p>
        </w:tc>
        <w:tc>
          <w:tcPr>
            <w:tcW w:w="1588" w:type="dxa"/>
          </w:tcPr>
          <w:p w14:paraId="3006AF77" w14:textId="77777777" w:rsidR="00F4329D" w:rsidRPr="002549BC" w:rsidRDefault="00F4329D" w:rsidP="00F4329D">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Vlastné vyhlásenie o práceneschopnosti</w:t>
            </w:r>
          </w:p>
          <w:p w14:paraId="0B86455F" w14:textId="77777777" w:rsidR="00F4329D" w:rsidRPr="002549BC" w:rsidRDefault="00F4329D" w:rsidP="00F4329D">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1 – 8 dní*</w:t>
            </w:r>
          </w:p>
        </w:tc>
        <w:tc>
          <w:tcPr>
            <w:tcW w:w="1738" w:type="dxa"/>
          </w:tcPr>
          <w:p w14:paraId="391FF885" w14:textId="77777777" w:rsidR="00F4329D" w:rsidRPr="002549BC" w:rsidRDefault="00F4329D" w:rsidP="00F4329D">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Doba práceneschopnosti**</w:t>
            </w:r>
          </w:p>
          <w:p w14:paraId="1A8DEA33" w14:textId="77777777" w:rsidR="00F4329D" w:rsidRPr="002549BC" w:rsidRDefault="00F4329D" w:rsidP="00F4329D">
            <w:pPr>
              <w:numPr>
                <w:ilvl w:val="0"/>
                <w:numId w:val="10"/>
              </w:numPr>
              <w:spacing w:line="240" w:lineRule="auto"/>
              <w:ind w:left="0" w:hanging="295"/>
              <w:contextualSpacing/>
              <w:jc w:val="left"/>
              <w:rPr>
                <w:rFonts w:asciiTheme="minorHAnsi" w:hAnsiTheme="minorHAnsi" w:cstheme="minorHAnsi"/>
                <w:b/>
                <w:sz w:val="16"/>
                <w:szCs w:val="16"/>
              </w:rPr>
            </w:pPr>
            <w:r w:rsidRPr="002549BC">
              <w:rPr>
                <w:rFonts w:asciiTheme="minorHAnsi" w:hAnsiTheme="minorHAnsi" w:cstheme="minorHAnsi"/>
                <w:b/>
                <w:sz w:val="16"/>
                <w:szCs w:val="16"/>
              </w:rPr>
              <w:t>4 týždne</w:t>
            </w:r>
          </w:p>
        </w:tc>
        <w:tc>
          <w:tcPr>
            <w:tcW w:w="1562" w:type="dxa"/>
          </w:tcPr>
          <w:p w14:paraId="515E5EDF" w14:textId="77777777" w:rsidR="00F4329D" w:rsidRPr="002549BC" w:rsidRDefault="00F4329D" w:rsidP="00F4329D">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Doba práceneschopnosti</w:t>
            </w:r>
          </w:p>
          <w:p w14:paraId="2C6A81A1" w14:textId="77777777" w:rsidR="00F4329D" w:rsidRPr="002549BC" w:rsidRDefault="00F4329D" w:rsidP="00F4329D">
            <w:pPr>
              <w:numPr>
                <w:ilvl w:val="0"/>
                <w:numId w:val="10"/>
              </w:numPr>
              <w:spacing w:line="240" w:lineRule="auto"/>
              <w:ind w:left="0" w:hanging="295"/>
              <w:contextualSpacing/>
              <w:jc w:val="left"/>
              <w:rPr>
                <w:rFonts w:asciiTheme="minorHAnsi" w:hAnsiTheme="minorHAnsi" w:cstheme="minorHAnsi"/>
                <w:b/>
                <w:sz w:val="16"/>
                <w:szCs w:val="16"/>
              </w:rPr>
            </w:pPr>
            <w:r w:rsidRPr="002549BC">
              <w:rPr>
                <w:rFonts w:asciiTheme="minorHAnsi" w:hAnsiTheme="minorHAnsi" w:cstheme="minorHAnsi"/>
                <w:b/>
                <w:sz w:val="16"/>
                <w:szCs w:val="16"/>
              </w:rPr>
              <w:t>7 týždňov</w:t>
            </w:r>
          </w:p>
        </w:tc>
        <w:tc>
          <w:tcPr>
            <w:tcW w:w="1588" w:type="dxa"/>
          </w:tcPr>
          <w:p w14:paraId="0CFBD78E" w14:textId="77777777" w:rsidR="00F4329D" w:rsidRPr="002549BC" w:rsidRDefault="00F4329D" w:rsidP="00F4329D">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Doba práceneschopnosti</w:t>
            </w:r>
          </w:p>
          <w:p w14:paraId="348922CD" w14:textId="77777777" w:rsidR="00F4329D" w:rsidRPr="002549BC" w:rsidRDefault="00F4329D" w:rsidP="00F4329D">
            <w:pPr>
              <w:numPr>
                <w:ilvl w:val="0"/>
                <w:numId w:val="10"/>
              </w:numPr>
              <w:spacing w:line="240" w:lineRule="auto"/>
              <w:ind w:left="0" w:hanging="295"/>
              <w:contextualSpacing/>
              <w:jc w:val="left"/>
              <w:rPr>
                <w:rFonts w:asciiTheme="minorHAnsi" w:hAnsiTheme="minorHAnsi" w:cstheme="minorHAnsi"/>
                <w:b/>
                <w:sz w:val="16"/>
                <w:szCs w:val="16"/>
              </w:rPr>
            </w:pPr>
            <w:r w:rsidRPr="002549BC">
              <w:rPr>
                <w:rFonts w:asciiTheme="minorHAnsi" w:hAnsiTheme="minorHAnsi" w:cstheme="minorHAnsi"/>
                <w:b/>
                <w:sz w:val="16"/>
                <w:szCs w:val="16"/>
              </w:rPr>
              <w:t>8 týždňov</w:t>
            </w:r>
          </w:p>
        </w:tc>
        <w:tc>
          <w:tcPr>
            <w:tcW w:w="1562" w:type="dxa"/>
          </w:tcPr>
          <w:p w14:paraId="0C08DF81" w14:textId="77777777" w:rsidR="00F4329D" w:rsidRPr="002549BC" w:rsidRDefault="00F4329D" w:rsidP="00F4329D">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Doba práceneschopnosti</w:t>
            </w:r>
          </w:p>
          <w:p w14:paraId="4B7300D9" w14:textId="77777777" w:rsidR="00F4329D" w:rsidRPr="002549BC" w:rsidRDefault="00F4329D" w:rsidP="00F4329D">
            <w:pPr>
              <w:numPr>
                <w:ilvl w:val="0"/>
                <w:numId w:val="10"/>
              </w:numPr>
              <w:spacing w:line="240" w:lineRule="auto"/>
              <w:ind w:left="0" w:hanging="295"/>
              <w:contextualSpacing/>
              <w:jc w:val="left"/>
              <w:rPr>
                <w:rFonts w:asciiTheme="minorHAnsi" w:hAnsiTheme="minorHAnsi" w:cstheme="minorHAnsi"/>
                <w:b/>
                <w:sz w:val="16"/>
                <w:szCs w:val="16"/>
              </w:rPr>
            </w:pPr>
            <w:r w:rsidRPr="002549BC">
              <w:rPr>
                <w:rFonts w:asciiTheme="minorHAnsi" w:hAnsiTheme="minorHAnsi" w:cstheme="minorHAnsi"/>
                <w:b/>
                <w:sz w:val="16"/>
                <w:szCs w:val="16"/>
              </w:rPr>
              <w:t>26 týždňov</w:t>
            </w:r>
          </w:p>
        </w:tc>
        <w:tc>
          <w:tcPr>
            <w:tcW w:w="1562" w:type="dxa"/>
          </w:tcPr>
          <w:p w14:paraId="15F46C63" w14:textId="77777777" w:rsidR="00F4329D" w:rsidRPr="002549BC" w:rsidRDefault="00F4329D" w:rsidP="00F4329D">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Doba práceneschopnosti</w:t>
            </w:r>
          </w:p>
          <w:p w14:paraId="5CEEC67D" w14:textId="77777777" w:rsidR="00F4329D" w:rsidRPr="002549BC" w:rsidRDefault="00F4329D" w:rsidP="00F4329D">
            <w:pPr>
              <w:numPr>
                <w:ilvl w:val="0"/>
                <w:numId w:val="10"/>
              </w:numPr>
              <w:spacing w:line="240" w:lineRule="auto"/>
              <w:ind w:left="0" w:hanging="295"/>
              <w:contextualSpacing/>
              <w:jc w:val="left"/>
              <w:rPr>
                <w:rFonts w:asciiTheme="minorHAnsi" w:hAnsiTheme="minorHAnsi" w:cstheme="minorHAnsi"/>
                <w:b/>
                <w:sz w:val="16"/>
                <w:szCs w:val="16"/>
              </w:rPr>
            </w:pPr>
            <w:r w:rsidRPr="002549BC">
              <w:rPr>
                <w:rFonts w:asciiTheme="minorHAnsi" w:hAnsiTheme="minorHAnsi" w:cstheme="minorHAnsi"/>
                <w:b/>
                <w:sz w:val="16"/>
                <w:szCs w:val="16"/>
              </w:rPr>
              <w:t>1 rok</w:t>
            </w:r>
          </w:p>
        </w:tc>
      </w:tr>
      <w:tr w:rsidR="00C30E75" w:rsidRPr="002549BC" w14:paraId="5E865390" w14:textId="77777777" w:rsidTr="000D7230">
        <w:tc>
          <w:tcPr>
            <w:tcW w:w="2129" w:type="dxa"/>
          </w:tcPr>
          <w:p w14:paraId="213ACA11" w14:textId="77777777" w:rsidR="00C30E75" w:rsidRPr="002549BC" w:rsidRDefault="00C30E75" w:rsidP="00972E18">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u w:val="single"/>
              </w:rPr>
              <w:t>Zamestnávateľ</w:t>
            </w:r>
            <w:r w:rsidRPr="002549BC">
              <w:rPr>
                <w:rFonts w:asciiTheme="minorHAnsi" w:hAnsiTheme="minorHAnsi" w:cstheme="minorHAnsi"/>
                <w:b/>
                <w:sz w:val="16"/>
                <w:szCs w:val="16"/>
              </w:rPr>
              <w:t xml:space="preserve"> zodpovedá za včasné začlenenie zamestnancov</w:t>
            </w:r>
          </w:p>
          <w:p w14:paraId="6766C1A5" w14:textId="77777777" w:rsidR="00C30E75" w:rsidRPr="002549BC" w:rsidRDefault="00C30E75" w:rsidP="00972E18">
            <w:pPr>
              <w:spacing w:line="240" w:lineRule="auto"/>
              <w:jc w:val="left"/>
              <w:rPr>
                <w:rFonts w:asciiTheme="minorHAnsi" w:hAnsiTheme="minorHAnsi" w:cstheme="minorHAnsi"/>
                <w:b/>
                <w:sz w:val="16"/>
                <w:szCs w:val="16"/>
              </w:rPr>
            </w:pPr>
          </w:p>
          <w:p w14:paraId="6C1FBE1E" w14:textId="77777777" w:rsidR="00C30E75" w:rsidRPr="002549BC" w:rsidRDefault="00C30E75" w:rsidP="00972E18">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Musí dokumentovať plán ďalšieho postupu pre práceneschopných zamestnancov</w:t>
            </w:r>
          </w:p>
        </w:tc>
        <w:tc>
          <w:tcPr>
            <w:tcW w:w="1588" w:type="dxa"/>
          </w:tcPr>
          <w:p w14:paraId="18CD6350"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Uchovať formuláre vlastného vyhlásenia o práceneschopnosti</w:t>
            </w:r>
          </w:p>
          <w:p w14:paraId="1A67A272" w14:textId="77777777" w:rsidR="00C30E75" w:rsidRPr="002549BC" w:rsidRDefault="00C30E75" w:rsidP="00972E18">
            <w:pPr>
              <w:spacing w:line="240" w:lineRule="auto"/>
              <w:jc w:val="left"/>
              <w:rPr>
                <w:rFonts w:asciiTheme="minorHAnsi" w:hAnsiTheme="minorHAnsi" w:cstheme="minorHAnsi"/>
                <w:sz w:val="16"/>
                <w:szCs w:val="16"/>
              </w:rPr>
            </w:pPr>
          </w:p>
          <w:p w14:paraId="14CFB39A"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Kontaktovať zamestnanca, ak je niekoľko dní práceneschopný</w:t>
            </w:r>
          </w:p>
        </w:tc>
        <w:tc>
          <w:tcPr>
            <w:tcW w:w="1738" w:type="dxa"/>
          </w:tcPr>
          <w:p w14:paraId="7F29D9A8"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Vytvoriť plán ďalšieho postupu so zamestnancom</w:t>
            </w:r>
          </w:p>
          <w:p w14:paraId="03900383" w14:textId="77777777" w:rsidR="00C30E75" w:rsidRPr="002549BC" w:rsidRDefault="00C30E75" w:rsidP="00972E18">
            <w:pPr>
              <w:spacing w:line="240" w:lineRule="auto"/>
              <w:jc w:val="left"/>
              <w:rPr>
                <w:rFonts w:asciiTheme="minorHAnsi" w:hAnsiTheme="minorHAnsi" w:cstheme="minorHAnsi"/>
                <w:sz w:val="16"/>
                <w:szCs w:val="16"/>
              </w:rPr>
            </w:pPr>
          </w:p>
          <w:p w14:paraId="46E36745"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 xml:space="preserve">Informovať lekára a agentúru NAV (ak sa vyžaduje podpora NAV) </w:t>
            </w:r>
          </w:p>
        </w:tc>
        <w:tc>
          <w:tcPr>
            <w:tcW w:w="1562" w:type="dxa"/>
          </w:tcPr>
          <w:p w14:paraId="1CFDA220"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Ak je zamestnanec práceneschopný s dávkou 100 %, iniciovať stretnutie 1 so zamestnancom</w:t>
            </w:r>
          </w:p>
          <w:p w14:paraId="49417A38" w14:textId="77777777" w:rsidR="00C30E75" w:rsidRPr="002549BC" w:rsidRDefault="00C30E75" w:rsidP="00972E18">
            <w:pPr>
              <w:spacing w:line="240" w:lineRule="auto"/>
              <w:jc w:val="left"/>
              <w:rPr>
                <w:rFonts w:asciiTheme="minorHAnsi" w:hAnsiTheme="minorHAnsi" w:cstheme="minorHAnsi"/>
                <w:sz w:val="16"/>
                <w:szCs w:val="16"/>
              </w:rPr>
            </w:pPr>
          </w:p>
          <w:p w14:paraId="6FFA92F4"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Zúčastniť sa môže predstaviteľ NAV, pracovnej zdravotnej služby, lekár a zástupca zamestnancov</w:t>
            </w:r>
          </w:p>
        </w:tc>
        <w:tc>
          <w:tcPr>
            <w:tcW w:w="1588" w:type="dxa"/>
          </w:tcPr>
          <w:p w14:paraId="7AE487F5" w14:textId="77777777" w:rsidR="00C30E75" w:rsidRPr="002549BC" w:rsidRDefault="00C30E75" w:rsidP="00972E18">
            <w:pPr>
              <w:spacing w:line="240" w:lineRule="auto"/>
              <w:jc w:val="left"/>
              <w:rPr>
                <w:rFonts w:asciiTheme="minorHAnsi" w:hAnsiTheme="minorHAnsi" w:cstheme="minorHAnsi"/>
                <w:sz w:val="16"/>
                <w:szCs w:val="16"/>
              </w:rPr>
            </w:pPr>
          </w:p>
        </w:tc>
        <w:tc>
          <w:tcPr>
            <w:tcW w:w="1562" w:type="dxa"/>
          </w:tcPr>
          <w:p w14:paraId="2C40C2CF"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Zúčastniť sa na stretnutí 2 spolu s NAV, zamestnancom a ďalšími</w:t>
            </w:r>
          </w:p>
          <w:p w14:paraId="4B7E3BF7" w14:textId="77777777" w:rsidR="00C30E75" w:rsidRPr="002549BC" w:rsidRDefault="00C30E75" w:rsidP="00972E18">
            <w:pPr>
              <w:spacing w:line="240" w:lineRule="auto"/>
              <w:jc w:val="left"/>
              <w:rPr>
                <w:rFonts w:asciiTheme="minorHAnsi" w:hAnsiTheme="minorHAnsi" w:cstheme="minorHAnsi"/>
                <w:sz w:val="16"/>
                <w:szCs w:val="16"/>
              </w:rPr>
            </w:pPr>
          </w:p>
          <w:p w14:paraId="44CF587C"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Odoslať NAV aktualizovaný plán ďalšieho postupu 1 týždeň pred stretnutím</w:t>
            </w:r>
          </w:p>
        </w:tc>
        <w:tc>
          <w:tcPr>
            <w:tcW w:w="1562" w:type="dxa"/>
          </w:tcPr>
          <w:p w14:paraId="61825A25"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Zúčastniť sa na stretnutí 3, ak sa zorganizuje</w:t>
            </w:r>
          </w:p>
          <w:p w14:paraId="60C93A1F" w14:textId="77777777" w:rsidR="00C30E75" w:rsidRPr="002549BC" w:rsidRDefault="00C30E75" w:rsidP="00972E18">
            <w:pPr>
              <w:spacing w:line="240" w:lineRule="auto"/>
              <w:jc w:val="left"/>
              <w:rPr>
                <w:rFonts w:asciiTheme="minorHAnsi" w:hAnsiTheme="minorHAnsi" w:cstheme="minorHAnsi"/>
                <w:sz w:val="16"/>
                <w:szCs w:val="16"/>
              </w:rPr>
            </w:pPr>
          </w:p>
          <w:p w14:paraId="22C79AB2"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Môže iniciovať stretnutie 3</w:t>
            </w:r>
          </w:p>
        </w:tc>
      </w:tr>
      <w:tr w:rsidR="00C30E75" w:rsidRPr="002549BC" w14:paraId="3F9B9E65" w14:textId="77777777" w:rsidTr="000D7230">
        <w:tc>
          <w:tcPr>
            <w:tcW w:w="2129" w:type="dxa"/>
          </w:tcPr>
          <w:p w14:paraId="62409E4A" w14:textId="77777777" w:rsidR="00C30E75" w:rsidRPr="002549BC" w:rsidRDefault="00C30E75" w:rsidP="00972E18">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u w:val="single"/>
              </w:rPr>
              <w:t>Zamestnanec</w:t>
            </w:r>
            <w:r w:rsidRPr="002549BC">
              <w:rPr>
                <w:rFonts w:asciiTheme="minorHAnsi" w:hAnsiTheme="minorHAnsi" w:cstheme="minorHAnsi"/>
                <w:b/>
                <w:sz w:val="16"/>
                <w:szCs w:val="16"/>
              </w:rPr>
              <w:t xml:space="preserve"> musí spolupracovať a aktívne sa podieľať na hľadaní riešení pre skorý návrat do práce***</w:t>
            </w:r>
          </w:p>
        </w:tc>
        <w:tc>
          <w:tcPr>
            <w:tcW w:w="1588" w:type="dxa"/>
          </w:tcPr>
          <w:p w14:paraId="64057B0F"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 xml:space="preserve">Kontaktovať zamestnávateľa </w:t>
            </w:r>
          </w:p>
          <w:p w14:paraId="414EEA28" w14:textId="77777777" w:rsidR="00C30E75" w:rsidRPr="002549BC" w:rsidRDefault="00C30E75" w:rsidP="00972E18">
            <w:pPr>
              <w:spacing w:line="240" w:lineRule="auto"/>
              <w:jc w:val="left"/>
              <w:rPr>
                <w:rFonts w:asciiTheme="minorHAnsi" w:hAnsiTheme="minorHAnsi" w:cstheme="minorHAnsi"/>
                <w:sz w:val="16"/>
                <w:szCs w:val="16"/>
              </w:rPr>
            </w:pPr>
          </w:p>
          <w:p w14:paraId="0B79D61A"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Informovať o očakávanej dobe práceneschopnosti</w:t>
            </w:r>
          </w:p>
        </w:tc>
        <w:tc>
          <w:tcPr>
            <w:tcW w:w="1738" w:type="dxa"/>
          </w:tcPr>
          <w:p w14:paraId="5C17678E"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Podieľať sa na vytvorení plánu ďalšieho postupu s cieľom návratu do práce, ak je to možné</w:t>
            </w:r>
          </w:p>
        </w:tc>
        <w:tc>
          <w:tcPr>
            <w:tcW w:w="1562" w:type="dxa"/>
          </w:tcPr>
          <w:p w14:paraId="08EC90B3"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Zúčastniť sa na stretnutí 1 (ak to zdravotný stav umožňuje)</w:t>
            </w:r>
          </w:p>
          <w:p w14:paraId="7677DBE5" w14:textId="77777777" w:rsidR="00C30E75" w:rsidRPr="002549BC" w:rsidRDefault="00C30E75" w:rsidP="00972E18">
            <w:pPr>
              <w:spacing w:line="240" w:lineRule="auto"/>
              <w:jc w:val="left"/>
              <w:rPr>
                <w:rFonts w:asciiTheme="minorHAnsi" w:hAnsiTheme="minorHAnsi" w:cstheme="minorHAnsi"/>
                <w:sz w:val="16"/>
                <w:szCs w:val="16"/>
              </w:rPr>
            </w:pPr>
          </w:p>
          <w:p w14:paraId="6F3BDB39"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Informovať zamestnávateľa, či sa na stretnutí majú zúčastniť aj ďalšie strany</w:t>
            </w:r>
          </w:p>
        </w:tc>
        <w:tc>
          <w:tcPr>
            <w:tcW w:w="1588" w:type="dxa"/>
          </w:tcPr>
          <w:p w14:paraId="6655FD6F"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 xml:space="preserve">Ak nevykonáva aktivitu súvisiacu s prácou, vyžaduje sa nové potvrdenie o práceneschopnosti od lekára </w:t>
            </w:r>
          </w:p>
        </w:tc>
        <w:tc>
          <w:tcPr>
            <w:tcW w:w="1562" w:type="dxa"/>
          </w:tcPr>
          <w:p w14:paraId="0BE8828A"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 xml:space="preserve">Zúčastniť sa na stretnutí 2 </w:t>
            </w:r>
          </w:p>
          <w:p w14:paraId="71E49B3B" w14:textId="77777777" w:rsidR="00C30E75" w:rsidRPr="002549BC" w:rsidRDefault="00C30E75" w:rsidP="00972E18">
            <w:pPr>
              <w:spacing w:line="240" w:lineRule="auto"/>
              <w:jc w:val="left"/>
              <w:rPr>
                <w:rFonts w:asciiTheme="minorHAnsi" w:hAnsiTheme="minorHAnsi" w:cstheme="minorHAnsi"/>
                <w:sz w:val="16"/>
                <w:szCs w:val="16"/>
              </w:rPr>
            </w:pPr>
          </w:p>
          <w:p w14:paraId="6A2421FD"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Podieľať sa na hľadaní riešení pre návrat do práce</w:t>
            </w:r>
          </w:p>
        </w:tc>
        <w:tc>
          <w:tcPr>
            <w:tcW w:w="1562" w:type="dxa"/>
          </w:tcPr>
          <w:p w14:paraId="0738D4FC"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Zúčastniť sa na stretnutí 3</w:t>
            </w:r>
          </w:p>
          <w:p w14:paraId="2A4F7481" w14:textId="77777777" w:rsidR="00C30E75" w:rsidRPr="002549BC" w:rsidRDefault="00C30E75" w:rsidP="00972E18">
            <w:pPr>
              <w:spacing w:line="240" w:lineRule="auto"/>
              <w:jc w:val="left"/>
              <w:rPr>
                <w:rFonts w:asciiTheme="minorHAnsi" w:hAnsiTheme="minorHAnsi" w:cstheme="minorHAnsi"/>
                <w:sz w:val="16"/>
                <w:szCs w:val="16"/>
              </w:rPr>
            </w:pPr>
          </w:p>
          <w:p w14:paraId="4535521A"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Môže požiadať o stretnutie 3</w:t>
            </w:r>
          </w:p>
          <w:p w14:paraId="299B9619" w14:textId="77777777" w:rsidR="00C30E75" w:rsidRPr="002549BC" w:rsidRDefault="00C30E75" w:rsidP="00972E18">
            <w:pPr>
              <w:spacing w:line="240" w:lineRule="auto"/>
              <w:jc w:val="left"/>
              <w:rPr>
                <w:rFonts w:asciiTheme="minorHAnsi" w:hAnsiTheme="minorHAnsi" w:cstheme="minorHAnsi"/>
                <w:sz w:val="16"/>
                <w:szCs w:val="16"/>
              </w:rPr>
            </w:pPr>
          </w:p>
          <w:p w14:paraId="50DA1113"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Pred skončením doby 1 roka: spolu s lekárom zvážiť pomoc od agentúry NAV</w:t>
            </w:r>
          </w:p>
          <w:p w14:paraId="58CDF77E" w14:textId="77777777" w:rsidR="00C30E75" w:rsidRPr="002549BC" w:rsidRDefault="00C30E75" w:rsidP="00972E18">
            <w:pPr>
              <w:spacing w:line="240" w:lineRule="auto"/>
              <w:jc w:val="left"/>
              <w:rPr>
                <w:rFonts w:asciiTheme="minorHAnsi" w:hAnsiTheme="minorHAnsi" w:cstheme="minorHAnsi"/>
                <w:sz w:val="16"/>
                <w:szCs w:val="16"/>
              </w:rPr>
            </w:pPr>
          </w:p>
          <w:p w14:paraId="709C84B2"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Požiadať o dávku pri zníženej pracovnej schopnosti alebo invalidný dôchodok</w:t>
            </w:r>
          </w:p>
        </w:tc>
      </w:tr>
      <w:tr w:rsidR="00C30E75" w:rsidRPr="002549BC" w14:paraId="49C3BA06" w14:textId="77777777" w:rsidTr="000D7230">
        <w:tc>
          <w:tcPr>
            <w:tcW w:w="2129" w:type="dxa"/>
          </w:tcPr>
          <w:p w14:paraId="50185ABD" w14:textId="77777777" w:rsidR="00C30E75" w:rsidRPr="002549BC" w:rsidRDefault="00C30E75" w:rsidP="00972E18">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u w:val="single"/>
              </w:rPr>
              <w:t>Lekár vydávajúci osvedčenie</w:t>
            </w:r>
            <w:r w:rsidRPr="002549BC">
              <w:rPr>
                <w:rFonts w:asciiTheme="minorHAnsi" w:hAnsiTheme="minorHAnsi" w:cstheme="minorHAnsi"/>
                <w:b/>
                <w:sz w:val="16"/>
                <w:szCs w:val="16"/>
              </w:rPr>
              <w:t xml:space="preserve"> musí osobu motivovať k návratu do práce na 10 % alebo čiastočný úväzok, ak je to vhodné zo zdravotného hľadiska</w:t>
            </w:r>
          </w:p>
        </w:tc>
        <w:tc>
          <w:tcPr>
            <w:tcW w:w="1588" w:type="dxa"/>
          </w:tcPr>
          <w:p w14:paraId="515DDA87" w14:textId="77777777" w:rsidR="00C30E75" w:rsidRPr="002549BC" w:rsidRDefault="00C30E75" w:rsidP="00972E18">
            <w:pPr>
              <w:spacing w:line="240" w:lineRule="auto"/>
              <w:jc w:val="left"/>
              <w:rPr>
                <w:rFonts w:asciiTheme="minorHAnsi" w:hAnsiTheme="minorHAnsi" w:cstheme="minorHAnsi"/>
                <w:sz w:val="16"/>
                <w:szCs w:val="16"/>
              </w:rPr>
            </w:pPr>
          </w:p>
        </w:tc>
        <w:tc>
          <w:tcPr>
            <w:tcW w:w="1738" w:type="dxa"/>
          </w:tcPr>
          <w:p w14:paraId="18954D07"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Zvážiť čiastočnú dobu práceneschopnosti na trvalom základe</w:t>
            </w:r>
          </w:p>
          <w:p w14:paraId="32B8D32B" w14:textId="77777777" w:rsidR="00C30E75" w:rsidRPr="002549BC" w:rsidRDefault="00C30E75" w:rsidP="00972E18">
            <w:pPr>
              <w:spacing w:line="240" w:lineRule="auto"/>
              <w:jc w:val="left"/>
              <w:rPr>
                <w:rFonts w:asciiTheme="minorHAnsi" w:hAnsiTheme="minorHAnsi" w:cstheme="minorHAnsi"/>
                <w:sz w:val="16"/>
                <w:szCs w:val="16"/>
              </w:rPr>
            </w:pPr>
          </w:p>
          <w:p w14:paraId="7789F95A"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Získať plán ďalšieho postupu</w:t>
            </w:r>
          </w:p>
        </w:tc>
        <w:tc>
          <w:tcPr>
            <w:tcW w:w="1562" w:type="dxa"/>
          </w:tcPr>
          <w:p w14:paraId="032FDEA5"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Zúčastniť sa na stretnutí 1</w:t>
            </w:r>
          </w:p>
        </w:tc>
        <w:tc>
          <w:tcPr>
            <w:tcW w:w="1588" w:type="dxa"/>
          </w:tcPr>
          <w:p w14:paraId="5E7D179D"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Vydať osvedčenie, či sa zamestnanec nemôže zapájať do príslušných pracovných činností</w:t>
            </w:r>
          </w:p>
        </w:tc>
        <w:tc>
          <w:tcPr>
            <w:tcW w:w="1562" w:type="dxa"/>
          </w:tcPr>
          <w:p w14:paraId="7FFFBA4D"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Zúčastniť sa na stretnutí 2, ak sa zorganizuje</w:t>
            </w:r>
          </w:p>
          <w:p w14:paraId="109B0BC5" w14:textId="77777777" w:rsidR="00C30E75" w:rsidRPr="002549BC" w:rsidRDefault="00C30E75" w:rsidP="00972E18">
            <w:pPr>
              <w:spacing w:line="240" w:lineRule="auto"/>
              <w:jc w:val="left"/>
              <w:rPr>
                <w:rFonts w:asciiTheme="minorHAnsi" w:hAnsiTheme="minorHAnsi" w:cstheme="minorHAnsi"/>
                <w:sz w:val="16"/>
                <w:szCs w:val="16"/>
              </w:rPr>
            </w:pPr>
          </w:p>
          <w:p w14:paraId="271F3858" w14:textId="77777777" w:rsidR="00C30E75" w:rsidRPr="002549BC" w:rsidRDefault="00C30E75" w:rsidP="00972E18">
            <w:pPr>
              <w:spacing w:line="240" w:lineRule="auto"/>
              <w:jc w:val="left"/>
              <w:rPr>
                <w:rFonts w:asciiTheme="minorHAnsi" w:hAnsiTheme="minorHAnsi" w:cstheme="minorHAnsi"/>
                <w:sz w:val="16"/>
                <w:szCs w:val="16"/>
              </w:rPr>
            </w:pPr>
          </w:p>
        </w:tc>
        <w:tc>
          <w:tcPr>
            <w:tcW w:w="1562" w:type="dxa"/>
          </w:tcPr>
          <w:p w14:paraId="73C14F26"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Zúčastniť sa na stretnutí 3, ak sa zorganizuje</w:t>
            </w:r>
          </w:p>
          <w:p w14:paraId="5A065412" w14:textId="77777777" w:rsidR="00C30E75" w:rsidRPr="002549BC" w:rsidRDefault="00C30E75" w:rsidP="00972E18">
            <w:pPr>
              <w:spacing w:line="240" w:lineRule="auto"/>
              <w:jc w:val="left"/>
              <w:rPr>
                <w:rFonts w:asciiTheme="minorHAnsi" w:hAnsiTheme="minorHAnsi" w:cstheme="minorHAnsi"/>
                <w:sz w:val="16"/>
                <w:szCs w:val="16"/>
              </w:rPr>
            </w:pPr>
          </w:p>
          <w:p w14:paraId="3FD42CB4"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Môže požiadať o stretnutie 3</w:t>
            </w:r>
          </w:p>
        </w:tc>
      </w:tr>
      <w:tr w:rsidR="00C30E75" w:rsidRPr="002549BC" w14:paraId="1A3E38B1" w14:textId="77777777" w:rsidTr="000D7230">
        <w:tc>
          <w:tcPr>
            <w:tcW w:w="2129" w:type="dxa"/>
          </w:tcPr>
          <w:p w14:paraId="74C460B4" w14:textId="77777777" w:rsidR="00C30E75" w:rsidRPr="002549BC" w:rsidRDefault="00C30E75" w:rsidP="00972E18">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u w:val="single"/>
              </w:rPr>
              <w:t>NAV</w:t>
            </w:r>
            <w:r w:rsidRPr="002549BC">
              <w:rPr>
                <w:rFonts w:asciiTheme="minorHAnsi" w:hAnsiTheme="minorHAnsi" w:cstheme="minorHAnsi"/>
                <w:b/>
                <w:sz w:val="16"/>
                <w:szCs w:val="16"/>
              </w:rPr>
              <w:t xml:space="preserve"> musí poskytovať podporu zamestnávateľovi a zamestnancovi</w:t>
            </w:r>
          </w:p>
          <w:p w14:paraId="2CBEC224" w14:textId="77777777" w:rsidR="00C30E75" w:rsidRPr="002549BC" w:rsidRDefault="00C30E75" w:rsidP="00972E18">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Vyplácať nemocenské dávky počas práceneschopnosti</w:t>
            </w:r>
          </w:p>
          <w:p w14:paraId="2D2AB685" w14:textId="77777777" w:rsidR="00C30E75" w:rsidRPr="002549BC" w:rsidRDefault="00C30E75" w:rsidP="00972E18">
            <w:pPr>
              <w:spacing w:line="240" w:lineRule="auto"/>
              <w:jc w:val="left"/>
              <w:rPr>
                <w:rFonts w:asciiTheme="minorHAnsi" w:hAnsiTheme="minorHAnsi" w:cstheme="minorHAnsi"/>
                <w:b/>
                <w:sz w:val="16"/>
                <w:szCs w:val="16"/>
              </w:rPr>
            </w:pPr>
            <w:r w:rsidRPr="002549BC">
              <w:rPr>
                <w:rFonts w:asciiTheme="minorHAnsi" w:hAnsiTheme="minorHAnsi" w:cstheme="minorHAnsi"/>
                <w:b/>
                <w:sz w:val="16"/>
                <w:szCs w:val="16"/>
              </w:rPr>
              <w:t>Navrhnúť spôsoby návratu do práce</w:t>
            </w:r>
          </w:p>
        </w:tc>
        <w:tc>
          <w:tcPr>
            <w:tcW w:w="1588" w:type="dxa"/>
          </w:tcPr>
          <w:p w14:paraId="5AA8E52E" w14:textId="77777777" w:rsidR="00C30E75" w:rsidRPr="002549BC" w:rsidRDefault="00C30E75" w:rsidP="00972E18">
            <w:pPr>
              <w:spacing w:line="240" w:lineRule="auto"/>
              <w:jc w:val="left"/>
              <w:rPr>
                <w:rFonts w:asciiTheme="minorHAnsi" w:hAnsiTheme="minorHAnsi" w:cstheme="minorHAnsi"/>
                <w:sz w:val="16"/>
                <w:szCs w:val="16"/>
              </w:rPr>
            </w:pPr>
          </w:p>
        </w:tc>
        <w:tc>
          <w:tcPr>
            <w:tcW w:w="1738" w:type="dxa"/>
          </w:tcPr>
          <w:p w14:paraId="1C6CFFE3"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Odoslať všeobecné informácie všetkým práceneschopným zamestnancom</w:t>
            </w:r>
          </w:p>
        </w:tc>
        <w:tc>
          <w:tcPr>
            <w:tcW w:w="1562" w:type="dxa"/>
          </w:tcPr>
          <w:p w14:paraId="1CA169B4" w14:textId="77777777" w:rsidR="00C30E75" w:rsidRPr="002549BC" w:rsidRDefault="00C30E75" w:rsidP="00972E18">
            <w:pPr>
              <w:spacing w:line="240" w:lineRule="auto"/>
              <w:jc w:val="left"/>
              <w:rPr>
                <w:rFonts w:asciiTheme="minorHAnsi" w:hAnsiTheme="minorHAnsi" w:cstheme="minorHAnsi"/>
                <w:sz w:val="16"/>
                <w:szCs w:val="16"/>
              </w:rPr>
            </w:pPr>
          </w:p>
        </w:tc>
        <w:tc>
          <w:tcPr>
            <w:tcW w:w="1588" w:type="dxa"/>
          </w:tcPr>
          <w:p w14:paraId="7760E7BE"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Posúdiť, či boli splnené požiadavky týkajúce sa pracovnej činnosti</w:t>
            </w:r>
          </w:p>
        </w:tc>
        <w:tc>
          <w:tcPr>
            <w:tcW w:w="1562" w:type="dxa"/>
          </w:tcPr>
          <w:p w14:paraId="5BA75D8E"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Organizovať stretnutie 2</w:t>
            </w:r>
          </w:p>
        </w:tc>
        <w:tc>
          <w:tcPr>
            <w:tcW w:w="1562" w:type="dxa"/>
          </w:tcPr>
          <w:p w14:paraId="3EBD0267"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Organizovať stretnutie 3, ak je to potrebné alebo o to požiada niektorá zo strán</w:t>
            </w:r>
          </w:p>
          <w:p w14:paraId="7411FFE2" w14:textId="77777777" w:rsidR="00C30E75" w:rsidRPr="002549BC" w:rsidRDefault="00C30E75" w:rsidP="00972E18">
            <w:pPr>
              <w:spacing w:line="240" w:lineRule="auto"/>
              <w:jc w:val="left"/>
              <w:rPr>
                <w:rFonts w:asciiTheme="minorHAnsi" w:hAnsiTheme="minorHAnsi" w:cstheme="minorHAnsi"/>
                <w:sz w:val="16"/>
                <w:szCs w:val="16"/>
              </w:rPr>
            </w:pPr>
          </w:p>
          <w:p w14:paraId="71927277"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Posúdiť, či je potrebné vykonať ďalšie akcie týkajúce sa práce alebo dávky pri zníženej pracovnej schopnosti</w:t>
            </w:r>
          </w:p>
        </w:tc>
      </w:tr>
      <w:tr w:rsidR="00C30E75" w:rsidRPr="002549BC" w14:paraId="3CE26869" w14:textId="77777777" w:rsidTr="000D7230">
        <w:tc>
          <w:tcPr>
            <w:tcW w:w="2129" w:type="dxa"/>
          </w:tcPr>
          <w:p w14:paraId="6011A2B5" w14:textId="77777777" w:rsidR="00C30E75" w:rsidRPr="002549BC" w:rsidRDefault="00C30E75" w:rsidP="00972E18">
            <w:pPr>
              <w:spacing w:line="240" w:lineRule="auto"/>
              <w:jc w:val="left"/>
              <w:rPr>
                <w:rFonts w:asciiTheme="minorHAnsi" w:hAnsiTheme="minorHAnsi" w:cstheme="minorHAnsi"/>
                <w:b/>
                <w:sz w:val="16"/>
                <w:szCs w:val="16"/>
                <w:u w:val="single"/>
              </w:rPr>
            </w:pPr>
            <w:r w:rsidRPr="002549BC">
              <w:rPr>
                <w:rFonts w:asciiTheme="minorHAnsi" w:hAnsiTheme="minorHAnsi" w:cstheme="minorHAnsi"/>
                <w:b/>
                <w:sz w:val="16"/>
                <w:szCs w:val="16"/>
                <w:u w:val="single"/>
              </w:rPr>
              <w:t>Zástupcovia zamestnancov</w:t>
            </w:r>
          </w:p>
        </w:tc>
        <w:tc>
          <w:tcPr>
            <w:tcW w:w="9600" w:type="dxa"/>
            <w:gridSpan w:val="6"/>
          </w:tcPr>
          <w:p w14:paraId="1F9BF3BD"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Prispievať k predchádzaniu práceneschopnosti prostredníctvom systematických opatrení v oblasti bezpečnosti a ochrany zdravia. Poskytovať poradenstvo práceneschopnému zamestnancovi a napomáhať dialógu so zamestnávateľom. Zúčastniť sa na stretnutiach, ak o to požiada zamestnanec.</w:t>
            </w:r>
          </w:p>
        </w:tc>
      </w:tr>
      <w:tr w:rsidR="00C30E75" w:rsidRPr="002549BC" w14:paraId="3B371F17" w14:textId="77777777" w:rsidTr="000D7230">
        <w:tc>
          <w:tcPr>
            <w:tcW w:w="2129" w:type="dxa"/>
          </w:tcPr>
          <w:p w14:paraId="54CC5A50" w14:textId="77777777" w:rsidR="00C30E75" w:rsidRPr="002549BC" w:rsidRDefault="00C30E75" w:rsidP="00972E18">
            <w:pPr>
              <w:spacing w:line="240" w:lineRule="auto"/>
              <w:jc w:val="left"/>
              <w:rPr>
                <w:rFonts w:asciiTheme="minorHAnsi" w:hAnsiTheme="minorHAnsi" w:cstheme="minorHAnsi"/>
                <w:b/>
                <w:sz w:val="16"/>
                <w:szCs w:val="16"/>
                <w:u w:val="single"/>
              </w:rPr>
            </w:pPr>
            <w:r w:rsidRPr="002549BC">
              <w:rPr>
                <w:rFonts w:asciiTheme="minorHAnsi" w:hAnsiTheme="minorHAnsi" w:cstheme="minorHAnsi"/>
                <w:b/>
                <w:sz w:val="16"/>
                <w:szCs w:val="16"/>
                <w:u w:val="single"/>
              </w:rPr>
              <w:t xml:space="preserve">Pracovná zdravotná služba </w:t>
            </w:r>
          </w:p>
        </w:tc>
        <w:tc>
          <w:tcPr>
            <w:tcW w:w="9600" w:type="dxa"/>
            <w:gridSpan w:val="6"/>
          </w:tcPr>
          <w:p w14:paraId="3EB1848E"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 xml:space="preserve">Prispievať k systematickým opatreniam v oblasti bezpečnosti a ochrany zdravia pri práci a následných opatreniach so zamestnancom a zamestnávateľom. Zúčastniť sa na stretnutiach, ak o to požiada zamestnávateľ a/alebo zamestnanec. </w:t>
            </w:r>
          </w:p>
        </w:tc>
      </w:tr>
      <w:tr w:rsidR="00C30E75" w:rsidRPr="002549BC" w14:paraId="754938E2" w14:textId="77777777" w:rsidTr="000D7230">
        <w:tc>
          <w:tcPr>
            <w:tcW w:w="2129" w:type="dxa"/>
          </w:tcPr>
          <w:p w14:paraId="4CB09796" w14:textId="77777777" w:rsidR="00C30E75" w:rsidRPr="002549BC" w:rsidRDefault="00C30E75" w:rsidP="00972E18">
            <w:pPr>
              <w:spacing w:line="240" w:lineRule="auto"/>
              <w:jc w:val="left"/>
              <w:rPr>
                <w:rFonts w:asciiTheme="minorHAnsi" w:hAnsiTheme="minorHAnsi" w:cstheme="minorHAnsi"/>
                <w:b/>
                <w:sz w:val="16"/>
                <w:szCs w:val="16"/>
                <w:u w:val="single"/>
              </w:rPr>
            </w:pPr>
            <w:r w:rsidRPr="002549BC">
              <w:rPr>
                <w:rFonts w:asciiTheme="minorHAnsi" w:hAnsiTheme="minorHAnsi" w:cstheme="minorHAnsi"/>
                <w:b/>
                <w:sz w:val="16"/>
                <w:szCs w:val="16"/>
                <w:u w:val="single"/>
              </w:rPr>
              <w:t>Inšpektorát práce</w:t>
            </w:r>
          </w:p>
        </w:tc>
        <w:tc>
          <w:tcPr>
            <w:tcW w:w="9600" w:type="dxa"/>
            <w:gridSpan w:val="6"/>
          </w:tcPr>
          <w:p w14:paraId="2DB4345A" w14:textId="77777777" w:rsidR="00C30E75" w:rsidRPr="002549BC" w:rsidRDefault="00C30E75" w:rsidP="00972E18">
            <w:pPr>
              <w:spacing w:line="240" w:lineRule="auto"/>
              <w:jc w:val="left"/>
              <w:rPr>
                <w:rFonts w:asciiTheme="minorHAnsi" w:hAnsiTheme="minorHAnsi" w:cstheme="minorHAnsi"/>
                <w:sz w:val="16"/>
                <w:szCs w:val="16"/>
              </w:rPr>
            </w:pPr>
            <w:r w:rsidRPr="002549BC">
              <w:rPr>
                <w:rFonts w:asciiTheme="minorHAnsi" w:hAnsiTheme="minorHAnsi" w:cstheme="minorHAnsi"/>
                <w:sz w:val="16"/>
                <w:szCs w:val="16"/>
              </w:rPr>
              <w:t xml:space="preserve">Vykonávať dozor a dohľad nad bezpečnosťou a ochranou zdravia pri práci v podniku s cieľom predchádzať práceneschopnosti. Dohliadať, či podniky alebo zamestnávatelia ďalej kontaktujú zamestnancov v súlade s vyššie uvedenými smernicami. </w:t>
            </w:r>
          </w:p>
        </w:tc>
      </w:tr>
    </w:tbl>
    <w:p w14:paraId="15182E4A" w14:textId="77777777" w:rsidR="002549BC" w:rsidRPr="002549BC" w:rsidRDefault="002549BC" w:rsidP="002549BC">
      <w:pPr>
        <w:spacing w:line="240" w:lineRule="auto"/>
        <w:ind w:left="-284"/>
        <w:contextualSpacing/>
        <w:jc w:val="left"/>
        <w:rPr>
          <w:rFonts w:ascii="Calibri" w:hAnsi="Calibri" w:cs="Calibri"/>
          <w:sz w:val="6"/>
          <w:szCs w:val="6"/>
        </w:rPr>
      </w:pPr>
    </w:p>
    <w:p w14:paraId="5BB48DD8" w14:textId="77777777" w:rsidR="002549BC" w:rsidRPr="002549BC" w:rsidRDefault="00C30E75" w:rsidP="002549BC">
      <w:pPr>
        <w:spacing w:line="240" w:lineRule="auto"/>
        <w:ind w:left="-284"/>
        <w:contextualSpacing/>
        <w:jc w:val="left"/>
        <w:rPr>
          <w:rFonts w:ascii="Calibri" w:hAnsi="Calibri" w:cs="Calibri"/>
          <w:sz w:val="18"/>
          <w:szCs w:val="18"/>
        </w:rPr>
      </w:pPr>
      <w:r w:rsidRPr="002549BC">
        <w:rPr>
          <w:rFonts w:ascii="Calibri" w:hAnsi="Calibri" w:cs="Calibri"/>
          <w:sz w:val="18"/>
          <w:szCs w:val="18"/>
        </w:rPr>
        <w:t xml:space="preserve">* 1 – 3 dni, ak medzi zamestnávateľmi a zamestnancami nie je uzavretá žiadna dohoda o 8-dňovom vlastnom vyhlásení. </w:t>
      </w:r>
    </w:p>
    <w:p w14:paraId="38B283D1" w14:textId="77777777" w:rsidR="00C30E75" w:rsidRPr="002549BC" w:rsidRDefault="00C30E75" w:rsidP="00C30E75">
      <w:pPr>
        <w:ind w:left="-284"/>
        <w:contextualSpacing/>
        <w:rPr>
          <w:rFonts w:ascii="Calibri" w:hAnsi="Calibri" w:cs="Calibri"/>
          <w:sz w:val="18"/>
          <w:szCs w:val="18"/>
        </w:rPr>
      </w:pPr>
      <w:r w:rsidRPr="002549BC">
        <w:rPr>
          <w:rFonts w:ascii="Calibri" w:hAnsi="Calibri" w:cs="Calibri"/>
          <w:sz w:val="18"/>
          <w:szCs w:val="18"/>
        </w:rPr>
        <w:t>** Osvedčené lekárom.</w:t>
      </w:r>
    </w:p>
    <w:p w14:paraId="3377B56E" w14:textId="77777777" w:rsidR="00C30E75" w:rsidRPr="00C97A10" w:rsidRDefault="00C97A10" w:rsidP="00C97A10">
      <w:pPr>
        <w:pStyle w:val="Heading1"/>
        <w:numPr>
          <w:ilvl w:val="0"/>
          <w:numId w:val="17"/>
        </w:numPr>
        <w:spacing w:after="0"/>
        <w:jc w:val="left"/>
        <w:rPr>
          <w:sz w:val="32"/>
        </w:rPr>
      </w:pPr>
      <w:r>
        <w:rPr>
          <w:sz w:val="32"/>
        </w:rPr>
        <w:t>Marginalizované skupiny medzi pracovnými silami</w:t>
      </w:r>
    </w:p>
    <w:p w14:paraId="127801E6" w14:textId="77777777" w:rsidR="00C30E75" w:rsidRDefault="00C30E75" w:rsidP="00C30E75">
      <w:pPr>
        <w:rPr>
          <w:rFonts w:cs="Times New Roman"/>
        </w:rPr>
      </w:pPr>
      <w:r>
        <w:t>Z perspektívy jednotlivca i spoločnosti je dôležité začleniť do pracovnej sily čo možno najviac ľudí vrátane marginalizovaných skupín, ako sú nezames</w:t>
      </w:r>
      <w:bookmarkStart w:id="3" w:name="_GoBack"/>
      <w:bookmarkEnd w:id="3"/>
      <w:r>
        <w:t xml:space="preserve">tnaní mladí mimo vzdelávania (NEET), prisťahovalci, ktorí </w:t>
      </w:r>
      <w:r>
        <w:lastRenderedPageBreak/>
        <w:t>neovládajú nórsky jazyk, ľudia so závislosťou na alkohole alebo návykových látkach, ako aj ľudia s telesnými a mentálnymi postihnutiami a sociálnymi a kognitívnymi poruchami. Agentúra NAV poskytuje viacero opatrení s cieľom pomôcť týmto ľuďom začleniť sa na trh práce. Poradcovia NAV najprv posúdia schopnosti jednotlivca pracovať a potom spolu s klientom zostavia aktivačný plán. Cieľom tohto plánu je zabezpečiť schopnosť klienta pracovať na 100 % alebo čiastočný úväzok. V závislosti od potrieb jednotlivých klientov ponúka agentúra NAV praktickú alebo finančnú podporu. Podporné opatrenia možno rozdeliť do dvoch hlavných kategórií: vzdelávacie programy a iniciatívy na trhu práce.</w:t>
      </w:r>
    </w:p>
    <w:p w14:paraId="20ED8C3B" w14:textId="77777777" w:rsidR="00C30E75" w:rsidRDefault="00C30E75" w:rsidP="00C97A10">
      <w:pPr>
        <w:ind w:firstLine="360"/>
        <w:rPr>
          <w:rFonts w:cs="Times New Roman"/>
        </w:rPr>
      </w:pPr>
      <w:r>
        <w:t>Príkladom vzdelávacích programov môžu byť krátke kurzy zamerané na písanie životopisu, žiadostí o prácu a vyhľadávanie práce, kvalifikačné kurzy na rôzne pracovné pozície (v trvaní do 1 roka), štandardné stredoškolské vzdelávacie programy (2-ročné) alebo vyššie vzdelávanie na univerzitnej úrovni (do 3 rokov). Príkladom iniciatív na trhu práce sú pracovné školenia v chránených dielňach (s cieľom získať kvalifikáciu pre bežnú prácu), pracovné školenia v bežných podnikoch, pričom agentúra NAV hradí mzdu a zamestnávateľ sa môže rozhodnúť, či má záujem poskytnúť danému jednotlivcovi štandardnú pracovnú zmluvu, práce v bežných podnikoch, pričom zamestnanec má pracovnú zmluvu a agentúra NAV a zamestnávateľ sa podieľajú na úhrade mzdových nákladov (na dobu určitú alebo neurčitú), a podporované zamestnávanie, kde osoba získa štandardné pracovné miesto a zmluvu v podniku, pričom agentúra NAV hradí mzdu počas určitého obdobia a poskytuje zamestnancovi a zamestnávateľovi podporu a podrobný dohľad prostredníctvom osobitne vyškoleného supervízora (hlavný obchodný manažér).</w:t>
      </w:r>
    </w:p>
    <w:p w14:paraId="54296556" w14:textId="77777777" w:rsidR="00C97A10" w:rsidRDefault="00C97A10" w:rsidP="00142773">
      <w:pPr>
        <w:ind w:firstLine="360"/>
        <w:rPr>
          <w:rFonts w:cs="Times New Roman"/>
        </w:rPr>
      </w:pPr>
      <w:r>
        <w:t>Nórsko patrí medzi krajiny, v ktorých je menej častý výskyt ľudí bez domova. Problém bezdomovectva je tu však veľmi aktuálny. Javí sa, že Nórsko bolo vcelku úspešné pri znížení výskytu ľudí bez domova vďaka nasledujúcim iniciatívam: 1) používanie pomerne širokej definície bezdomovectva, 2) každé štyri roka sa zisťuje miera bezdomovectva a prieskumom sa zisťuje profil populácie ľudí bez domova s cieľom prispôsobiť príslušné intervencie, 3) zameranie sa na prevenciu bezdomovectva a poskytovanie ubytovania pre ľudí bez domova, 4) posun od modelu „postupných krokov premeny“ k modelu vychádzajúcemu z poskytovania ubytovania. Iniciatíva uvedená v bode 4 je pravdepodobne najdôležitejšia z tohto zoznamu. Model postupných krokov premeny si vyžaduje, aby jednotlivec so zdravotnými problémami alebo závislosťami zmenil svoj životný štýl a až potom mu je poskytnuté ubytovanie. Druhý model nevyžaduje splnenie žiadnej takejto podmienky. Model vychádzajúci z poskytnutia ubytovania považuje samotné ubytovanie ako nevyhnutné na to, aby mohol jednotlivec zmeniť svoj životný štýl. V Nórsku neexistuje jednoznačná deliaca čiara medzi prácou s ľuďmi bez domova a snahou o ich zamestnanie. Jedným z dôvodov môže byť skutočnosť, že väčšina ľudí má zabezpečené bývanie prostredníctvom relatívne štedrého sociálneho zabezpečenia z verejných zdrojov, čo im poskytuje príjem a bývanie.</w:t>
      </w:r>
    </w:p>
    <w:p w14:paraId="53216D08" w14:textId="77777777" w:rsidR="003A6588" w:rsidRPr="000F105D" w:rsidRDefault="003A6588" w:rsidP="00142773">
      <w:pPr>
        <w:ind w:firstLine="360"/>
        <w:rPr>
          <w:rFonts w:cs="Times New Roman"/>
        </w:rPr>
      </w:pPr>
    </w:p>
    <w:bookmarkEnd w:id="0"/>
    <w:bookmarkEnd w:id="1"/>
    <w:bookmarkEnd w:id="2"/>
    <w:p w14:paraId="4460AF1D" w14:textId="77777777" w:rsidR="00142773" w:rsidRPr="000F105D" w:rsidRDefault="00142773" w:rsidP="003A6588">
      <w:pPr>
        <w:rPr>
          <w:rFonts w:cs="Times New Roman"/>
        </w:rPr>
      </w:pPr>
    </w:p>
    <w:sectPr w:rsidR="00142773" w:rsidRPr="000F105D" w:rsidSect="00232BBF">
      <w:pgSz w:w="11900" w:h="16840"/>
      <w:pgMar w:top="1134" w:right="1134" w:bottom="1440" w:left="1134" w:header="709" w:footer="561"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672B5" w14:textId="77777777" w:rsidR="003A6C83" w:rsidRDefault="003A6C83" w:rsidP="00ED3477">
      <w:r>
        <w:separator/>
      </w:r>
    </w:p>
  </w:endnote>
  <w:endnote w:type="continuationSeparator" w:id="0">
    <w:p w14:paraId="5A1DEE35" w14:textId="77777777" w:rsidR="003A6C83" w:rsidRDefault="003A6C83" w:rsidP="00ED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814"/>
      <w:gridCol w:w="4366"/>
    </w:tblGrid>
    <w:tr w:rsidR="00972E18" w14:paraId="5532F776" w14:textId="77777777" w:rsidTr="00A64619">
      <w:tc>
        <w:tcPr>
          <w:tcW w:w="534" w:type="dxa"/>
          <w:vAlign w:val="bottom"/>
        </w:tcPr>
        <w:p w14:paraId="68B7F3F0" w14:textId="77777777" w:rsidR="00972E18" w:rsidRDefault="00972E18" w:rsidP="00ED3477">
          <w:pPr>
            <w:pStyle w:val="GreenLine"/>
            <w:rPr>
              <w:rStyle w:val="PageNumber"/>
              <w:rFonts w:cs="Times New Roman"/>
            </w:rPr>
          </w:pPr>
          <w:r>
            <w:rPr>
              <w:rStyle w:val="PageNumber"/>
            </w:rPr>
            <w:t>___</w:t>
          </w:r>
        </w:p>
        <w:p w14:paraId="741639F7" w14:textId="77777777" w:rsidR="00972E18" w:rsidRPr="000E2087" w:rsidRDefault="00CE603C" w:rsidP="00E141AF">
          <w:pPr>
            <w:pStyle w:val="Footer"/>
            <w:jc w:val="center"/>
            <w:rPr>
              <w:color w:val="3BAFA2" w:themeColor="accent2"/>
            </w:rPr>
          </w:pPr>
          <w:r w:rsidRPr="000E2087">
            <w:rPr>
              <w:rStyle w:val="PageNumber"/>
              <w:rFonts w:cs="Times New Roman"/>
              <w:sz w:val="20"/>
              <w:szCs w:val="20"/>
            </w:rPr>
            <w:fldChar w:fldCharType="begin"/>
          </w:r>
          <w:r w:rsidR="00972E18" w:rsidRPr="000E2087">
            <w:rPr>
              <w:rStyle w:val="PageNumber"/>
              <w:rFonts w:cs="Times New Roman"/>
              <w:sz w:val="20"/>
              <w:szCs w:val="20"/>
            </w:rPr>
            <w:instrText xml:space="preserve"> PAGE </w:instrText>
          </w:r>
          <w:r w:rsidRPr="000E2087">
            <w:rPr>
              <w:rStyle w:val="PageNumber"/>
              <w:rFonts w:cs="Times New Roman"/>
              <w:sz w:val="20"/>
              <w:szCs w:val="20"/>
            </w:rPr>
            <w:fldChar w:fldCharType="separate"/>
          </w:r>
          <w:r w:rsidR="00972E18">
            <w:rPr>
              <w:rStyle w:val="PageNumber"/>
              <w:rFonts w:cs="Times New Roman"/>
              <w:sz w:val="20"/>
              <w:szCs w:val="20"/>
            </w:rPr>
            <w:t>II</w:t>
          </w:r>
          <w:r w:rsidRPr="000E2087">
            <w:rPr>
              <w:rStyle w:val="PageNumber"/>
              <w:rFonts w:cs="Times New Roman"/>
              <w:sz w:val="20"/>
              <w:szCs w:val="20"/>
            </w:rPr>
            <w:fldChar w:fldCharType="end"/>
          </w:r>
        </w:p>
      </w:tc>
      <w:tc>
        <w:tcPr>
          <w:tcW w:w="3814" w:type="dxa"/>
          <w:vAlign w:val="bottom"/>
        </w:tcPr>
        <w:p w14:paraId="13BABBA2" w14:textId="77777777" w:rsidR="00972E18" w:rsidRDefault="00972E18" w:rsidP="00ED3477">
          <w:pPr>
            <w:pStyle w:val="Footer"/>
          </w:pPr>
        </w:p>
      </w:tc>
      <w:tc>
        <w:tcPr>
          <w:tcW w:w="4366" w:type="dxa"/>
          <w:vAlign w:val="bottom"/>
        </w:tcPr>
        <w:p w14:paraId="7DBCF5E9" w14:textId="77777777" w:rsidR="00972E18" w:rsidRPr="007F0EEC" w:rsidRDefault="00972E18" w:rsidP="00ED3477">
          <w:pPr>
            <w:pStyle w:val="Footer"/>
          </w:pPr>
        </w:p>
      </w:tc>
    </w:tr>
  </w:tbl>
  <w:p w14:paraId="1F4C419C" w14:textId="77777777" w:rsidR="00972E18" w:rsidRDefault="00972E18" w:rsidP="00ED34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5099"/>
      <w:gridCol w:w="531"/>
    </w:tblGrid>
    <w:tr w:rsidR="00972E18" w14:paraId="240F908B" w14:textId="77777777" w:rsidTr="00607831">
      <w:tc>
        <w:tcPr>
          <w:tcW w:w="4364" w:type="dxa"/>
          <w:vAlign w:val="bottom"/>
        </w:tcPr>
        <w:p w14:paraId="3409C20D" w14:textId="77777777" w:rsidR="00972E18" w:rsidRDefault="00972E18" w:rsidP="00ED3477">
          <w:pPr>
            <w:pStyle w:val="Footer"/>
          </w:pPr>
        </w:p>
      </w:tc>
      <w:tc>
        <w:tcPr>
          <w:tcW w:w="5100" w:type="dxa"/>
          <w:vAlign w:val="bottom"/>
        </w:tcPr>
        <w:p w14:paraId="75663074" w14:textId="77777777" w:rsidR="00972E18" w:rsidRDefault="00972E18" w:rsidP="00ED3477">
          <w:pPr>
            <w:pStyle w:val="Footer"/>
          </w:pPr>
        </w:p>
      </w:tc>
      <w:tc>
        <w:tcPr>
          <w:tcW w:w="530" w:type="dxa"/>
          <w:vAlign w:val="bottom"/>
        </w:tcPr>
        <w:p w14:paraId="6C5DDA22" w14:textId="77777777" w:rsidR="00972E18" w:rsidRDefault="00972E18" w:rsidP="00ED3477">
          <w:pPr>
            <w:pStyle w:val="GreenLine"/>
            <w:rPr>
              <w:rStyle w:val="PageNumber"/>
              <w:rFonts w:cs="Times New Roman"/>
            </w:rPr>
          </w:pPr>
          <w:r>
            <w:rPr>
              <w:rStyle w:val="PageNumber"/>
            </w:rPr>
            <w:t>___</w:t>
          </w:r>
        </w:p>
        <w:p w14:paraId="67863E43" w14:textId="77777777" w:rsidR="00972E18" w:rsidRPr="002549BC" w:rsidRDefault="00CE603C" w:rsidP="00E141AF">
          <w:pPr>
            <w:pStyle w:val="Footer"/>
            <w:jc w:val="center"/>
            <w:rPr>
              <w:rFonts w:asciiTheme="minorHAnsi" w:hAnsiTheme="minorHAnsi" w:cstheme="minorHAnsi"/>
            </w:rPr>
          </w:pPr>
          <w:r w:rsidRPr="002549BC">
            <w:rPr>
              <w:rStyle w:val="PageNumber"/>
              <w:rFonts w:asciiTheme="minorHAnsi" w:hAnsiTheme="minorHAnsi" w:cstheme="minorHAnsi"/>
              <w:sz w:val="20"/>
              <w:szCs w:val="20"/>
            </w:rPr>
            <w:fldChar w:fldCharType="begin"/>
          </w:r>
          <w:r w:rsidR="00972E18" w:rsidRPr="002549BC">
            <w:rPr>
              <w:rStyle w:val="PageNumber"/>
              <w:rFonts w:asciiTheme="minorHAnsi" w:hAnsiTheme="minorHAnsi" w:cstheme="minorHAnsi"/>
              <w:sz w:val="20"/>
              <w:szCs w:val="20"/>
            </w:rPr>
            <w:instrText xml:space="preserve"> PAGE </w:instrText>
          </w:r>
          <w:r w:rsidRPr="002549BC">
            <w:rPr>
              <w:rStyle w:val="PageNumber"/>
              <w:rFonts w:asciiTheme="minorHAnsi" w:hAnsiTheme="minorHAnsi" w:cstheme="minorHAnsi"/>
              <w:sz w:val="20"/>
              <w:szCs w:val="20"/>
            </w:rPr>
            <w:fldChar w:fldCharType="separate"/>
          </w:r>
          <w:r w:rsidR="000D7230">
            <w:rPr>
              <w:rStyle w:val="PageNumber"/>
              <w:rFonts w:asciiTheme="minorHAnsi" w:hAnsiTheme="minorHAnsi" w:cstheme="minorHAnsi"/>
              <w:noProof/>
              <w:sz w:val="20"/>
              <w:szCs w:val="20"/>
            </w:rPr>
            <w:t>4</w:t>
          </w:r>
          <w:r w:rsidRPr="002549BC">
            <w:rPr>
              <w:rStyle w:val="PageNumber"/>
              <w:rFonts w:asciiTheme="minorHAnsi" w:hAnsiTheme="minorHAnsi" w:cstheme="minorHAnsi"/>
              <w:sz w:val="20"/>
              <w:szCs w:val="20"/>
            </w:rPr>
            <w:fldChar w:fldCharType="end"/>
          </w:r>
        </w:p>
      </w:tc>
    </w:tr>
  </w:tbl>
  <w:p w14:paraId="0428F62C" w14:textId="77777777" w:rsidR="00972E18" w:rsidRDefault="00972E18" w:rsidP="00ED34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D9B0" w14:textId="77777777" w:rsidR="00972E18" w:rsidRPr="007F0EEC" w:rsidRDefault="00972E18" w:rsidP="00ED3477">
    <w:pPr>
      <w:pStyle w:val="GreenLine"/>
    </w:pPr>
  </w:p>
  <w:p w14:paraId="330015D2" w14:textId="77777777" w:rsidR="00972E18" w:rsidRDefault="00972E18" w:rsidP="00ED34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9ADE6" w14:textId="77777777" w:rsidR="003A6C83" w:rsidRDefault="003A6C83" w:rsidP="00ED3477">
      <w:r>
        <w:separator/>
      </w:r>
    </w:p>
  </w:footnote>
  <w:footnote w:type="continuationSeparator" w:id="0">
    <w:p w14:paraId="6D62E255" w14:textId="77777777" w:rsidR="003A6C83" w:rsidRDefault="003A6C83" w:rsidP="00ED3477">
      <w:r>
        <w:continuationSeparator/>
      </w:r>
    </w:p>
  </w:footnote>
  <w:footnote w:id="1">
    <w:p w14:paraId="47125871" w14:textId="77777777" w:rsidR="0099611C" w:rsidRPr="0099611C" w:rsidRDefault="0099611C" w:rsidP="0099611C">
      <w:pPr>
        <w:spacing w:line="240" w:lineRule="auto"/>
        <w:rPr>
          <w:sz w:val="20"/>
        </w:rPr>
      </w:pPr>
      <w:r>
        <w:rPr>
          <w:rStyle w:val="FootnoteReference"/>
        </w:rPr>
        <w:footnoteRef/>
      </w:r>
      <w:r>
        <w:t xml:space="preserve"> </w:t>
      </w:r>
      <w:proofErr w:type="spellStart"/>
      <w:r>
        <w:rPr>
          <w:sz w:val="20"/>
        </w:rPr>
        <w:t>Torp</w:t>
      </w:r>
      <w:proofErr w:type="spellEnd"/>
      <w:r>
        <w:rPr>
          <w:sz w:val="20"/>
        </w:rPr>
        <w:t xml:space="preserve">, S. (2020). „I </w:t>
      </w:r>
      <w:proofErr w:type="spellStart"/>
      <w:r>
        <w:rPr>
          <w:sz w:val="20"/>
        </w:rPr>
        <w:t>want</w:t>
      </w:r>
      <w:proofErr w:type="spellEnd"/>
      <w:r>
        <w:rPr>
          <w:sz w:val="20"/>
        </w:rPr>
        <w:t xml:space="preserve"> to </w:t>
      </w:r>
      <w:proofErr w:type="spellStart"/>
      <w:r>
        <w:rPr>
          <w:sz w:val="20"/>
        </w:rPr>
        <w:t>work</w:t>
      </w:r>
      <w:proofErr w:type="spellEnd"/>
      <w:r>
        <w:rPr>
          <w:sz w:val="20"/>
        </w:rPr>
        <w:t xml:space="preserve">; </w:t>
      </w:r>
      <w:proofErr w:type="spellStart"/>
      <w:r>
        <w:rPr>
          <w:sz w:val="20"/>
        </w:rPr>
        <w:t>who</w:t>
      </w:r>
      <w:proofErr w:type="spellEnd"/>
      <w:r>
        <w:rPr>
          <w:sz w:val="20"/>
        </w:rPr>
        <w:t xml:space="preserve"> </w:t>
      </w:r>
      <w:proofErr w:type="spellStart"/>
      <w:r>
        <w:rPr>
          <w:sz w:val="20"/>
        </w:rPr>
        <w:t>can</w:t>
      </w:r>
      <w:proofErr w:type="spellEnd"/>
      <w:r>
        <w:rPr>
          <w:sz w:val="20"/>
        </w:rPr>
        <w:t xml:space="preserve"> </w:t>
      </w:r>
      <w:proofErr w:type="spellStart"/>
      <w:r>
        <w:rPr>
          <w:sz w:val="20"/>
        </w:rPr>
        <w:t>help</w:t>
      </w:r>
      <w:proofErr w:type="spellEnd"/>
      <w:r>
        <w:rPr>
          <w:sz w:val="20"/>
        </w:rPr>
        <w:t xml:space="preserve"> </w:t>
      </w:r>
      <w:proofErr w:type="spellStart"/>
      <w:r>
        <w:rPr>
          <w:sz w:val="20"/>
        </w:rPr>
        <w:t>me</w:t>
      </w:r>
      <w:proofErr w:type="spellEnd"/>
      <w:r>
        <w:rPr>
          <w:sz w:val="20"/>
        </w:rPr>
        <w:t xml:space="preserve">?“ </w:t>
      </w:r>
      <w:proofErr w:type="spellStart"/>
      <w:r>
        <w:rPr>
          <w:sz w:val="20"/>
        </w:rPr>
        <w:t>An</w:t>
      </w:r>
      <w:proofErr w:type="spellEnd"/>
      <w:r>
        <w:rPr>
          <w:sz w:val="20"/>
        </w:rPr>
        <w:t xml:space="preserve"> </w:t>
      </w:r>
      <w:proofErr w:type="spellStart"/>
      <w:r>
        <w:rPr>
          <w:sz w:val="20"/>
        </w:rPr>
        <w:t>overview</w:t>
      </w:r>
      <w:proofErr w:type="spellEnd"/>
      <w:r>
        <w:rPr>
          <w:sz w:val="20"/>
        </w:rPr>
        <w:t xml:space="preserve"> of </w:t>
      </w:r>
      <w:proofErr w:type="spellStart"/>
      <w:r>
        <w:rPr>
          <w:sz w:val="20"/>
        </w:rPr>
        <w:t>work</w:t>
      </w:r>
      <w:proofErr w:type="spellEnd"/>
      <w:r>
        <w:rPr>
          <w:sz w:val="20"/>
        </w:rPr>
        <w:t xml:space="preserve"> </w:t>
      </w:r>
      <w:proofErr w:type="spellStart"/>
      <w:r>
        <w:rPr>
          <w:sz w:val="20"/>
        </w:rPr>
        <w:t>inclusion</w:t>
      </w:r>
      <w:proofErr w:type="spellEnd"/>
      <w:r>
        <w:rPr>
          <w:sz w:val="20"/>
        </w:rPr>
        <w:t xml:space="preserve"> </w:t>
      </w:r>
      <w:proofErr w:type="spellStart"/>
      <w:r>
        <w:rPr>
          <w:sz w:val="20"/>
        </w:rPr>
        <w:t>policies</w:t>
      </w:r>
      <w:proofErr w:type="spellEnd"/>
      <w:r>
        <w:rPr>
          <w:sz w:val="20"/>
        </w:rPr>
        <w:t xml:space="preserve"> and </w:t>
      </w:r>
      <w:proofErr w:type="spellStart"/>
      <w:r>
        <w:rPr>
          <w:sz w:val="20"/>
        </w:rPr>
        <w:t>practices</w:t>
      </w:r>
      <w:proofErr w:type="spellEnd"/>
      <w:r>
        <w:rPr>
          <w:sz w:val="20"/>
        </w:rPr>
        <w:t xml:space="preserve"> </w:t>
      </w:r>
      <w:proofErr w:type="spellStart"/>
      <w:r>
        <w:rPr>
          <w:sz w:val="20"/>
        </w:rPr>
        <w:t>for</w:t>
      </w:r>
      <w:proofErr w:type="spellEnd"/>
      <w:r>
        <w:rPr>
          <w:sz w:val="20"/>
        </w:rPr>
        <w:t xml:space="preserve"> </w:t>
      </w:r>
      <w:proofErr w:type="spellStart"/>
      <w:r>
        <w:rPr>
          <w:sz w:val="20"/>
        </w:rPr>
        <w:t>people</w:t>
      </w:r>
      <w:proofErr w:type="spellEnd"/>
      <w:r>
        <w:rPr>
          <w:sz w:val="20"/>
        </w:rPr>
        <w:t xml:space="preserve"> </w:t>
      </w:r>
      <w:proofErr w:type="spellStart"/>
      <w:r>
        <w:rPr>
          <w:sz w:val="20"/>
        </w:rPr>
        <w:t>with</w:t>
      </w:r>
      <w:proofErr w:type="spellEnd"/>
      <w:r>
        <w:rPr>
          <w:sz w:val="20"/>
        </w:rPr>
        <w:t xml:space="preserve"> </w:t>
      </w:r>
      <w:proofErr w:type="spellStart"/>
      <w:r>
        <w:rPr>
          <w:sz w:val="20"/>
        </w:rPr>
        <w:t>adverse</w:t>
      </w:r>
      <w:proofErr w:type="spellEnd"/>
      <w:r>
        <w:rPr>
          <w:sz w:val="20"/>
        </w:rPr>
        <w:t xml:space="preserve"> </w:t>
      </w:r>
      <w:proofErr w:type="spellStart"/>
      <w:r>
        <w:rPr>
          <w:sz w:val="20"/>
        </w:rPr>
        <w:t>health</w:t>
      </w:r>
      <w:proofErr w:type="spellEnd"/>
      <w:r>
        <w:rPr>
          <w:sz w:val="20"/>
        </w:rPr>
        <w:t xml:space="preserve"> </w:t>
      </w:r>
      <w:proofErr w:type="spellStart"/>
      <w:r>
        <w:rPr>
          <w:sz w:val="20"/>
        </w:rPr>
        <w:t>conditions</w:t>
      </w:r>
      <w:proofErr w:type="spellEnd"/>
      <w:r>
        <w:rPr>
          <w:sz w:val="20"/>
        </w:rPr>
        <w:t xml:space="preserve">. </w:t>
      </w:r>
      <w:r w:rsidR="002549BC" w:rsidRPr="002549BC">
        <w:rPr>
          <w:sz w:val="20"/>
        </w:rPr>
        <w:t>[</w:t>
      </w:r>
      <w:r w:rsidR="000F105D">
        <w:rPr>
          <w:sz w:val="20"/>
        </w:rPr>
        <w:t xml:space="preserve">Chcem pracovať, kto mi pomôže? </w:t>
      </w:r>
      <w:r>
        <w:rPr>
          <w:sz w:val="20"/>
        </w:rPr>
        <w:t>Prehľad politík a opatrení inklúzie v pracovnej sfére pre ľudí s nepriaznivým zdravotným stavom.</w:t>
      </w:r>
      <w:r w:rsidR="002549BC">
        <w:rPr>
          <w:sz w:val="20"/>
        </w:rPr>
        <w:t>]</w:t>
      </w:r>
      <w:r>
        <w:rPr>
          <w:sz w:val="20"/>
        </w:rPr>
        <w:t xml:space="preserve"> </w:t>
      </w:r>
      <w:proofErr w:type="spellStart"/>
      <w:r>
        <w:rPr>
          <w:sz w:val="20"/>
        </w:rPr>
        <w:t>Tønsberg</w:t>
      </w:r>
      <w:proofErr w:type="spellEnd"/>
      <w:r>
        <w:rPr>
          <w:sz w:val="20"/>
        </w:rPr>
        <w:t xml:space="preserve">: </w:t>
      </w:r>
      <w:proofErr w:type="spellStart"/>
      <w:r>
        <w:rPr>
          <w:sz w:val="20"/>
        </w:rPr>
        <w:t>University</w:t>
      </w:r>
      <w:proofErr w:type="spellEnd"/>
      <w:r>
        <w:rPr>
          <w:sz w:val="20"/>
        </w:rPr>
        <w:t xml:space="preserve"> of South-</w:t>
      </w:r>
      <w:proofErr w:type="spellStart"/>
      <w:r>
        <w:rPr>
          <w:sz w:val="20"/>
        </w:rPr>
        <w:t>Eastern</w:t>
      </w:r>
      <w:proofErr w:type="spellEnd"/>
      <w:r>
        <w:rPr>
          <w:sz w:val="20"/>
        </w:rPr>
        <w:t xml:space="preserve"> </w:t>
      </w:r>
      <w:proofErr w:type="spellStart"/>
      <w:r>
        <w:rPr>
          <w:sz w:val="20"/>
        </w:rPr>
        <w:t>Norway</w:t>
      </w:r>
      <w:proofErr w:type="spellEnd"/>
      <w:r>
        <w:rPr>
          <w:sz w:val="20"/>
        </w:rPr>
        <w:t>.</w:t>
      </w:r>
    </w:p>
    <w:p w14:paraId="25D7B833" w14:textId="77777777" w:rsidR="0099611C" w:rsidRPr="0099611C" w:rsidRDefault="0099611C">
      <w:pPr>
        <w:pStyle w:val="FootnoteText"/>
        <w:rPr>
          <w:lang w:val="nb-NO"/>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4"/>
    </w:tblGrid>
    <w:tr w:rsidR="00972E18" w14:paraId="154DCBC1" w14:textId="77777777" w:rsidTr="00DA764D">
      <w:tc>
        <w:tcPr>
          <w:tcW w:w="8714" w:type="dxa"/>
        </w:tcPr>
        <w:p w14:paraId="77550FD8" w14:textId="77777777" w:rsidR="00972E18" w:rsidRDefault="00972E18" w:rsidP="00ED3477">
          <w:proofErr w:type="spellStart"/>
          <w:r>
            <w:t>Etternavn</w:t>
          </w:r>
          <w:proofErr w:type="spellEnd"/>
          <w:r>
            <w:t xml:space="preserve">: </w:t>
          </w:r>
          <w:proofErr w:type="spellStart"/>
          <w:r>
            <w:t>Hovedtittel</w:t>
          </w:r>
          <w:proofErr w:type="spellEnd"/>
        </w:p>
      </w:tc>
    </w:tr>
  </w:tbl>
  <w:p w14:paraId="648E6F5F" w14:textId="77777777" w:rsidR="00972E18" w:rsidRDefault="00972E18" w:rsidP="00ED34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8A650" w14:textId="77777777" w:rsidR="00972E18" w:rsidRDefault="00972E18">
    <w:pPr>
      <w:pStyle w:val="Header"/>
    </w:pPr>
    <w:r>
      <w:rPr>
        <w:noProof/>
        <w:lang w:val="en-GB" w:eastAsia="en-GB"/>
      </w:rPr>
      <w:drawing>
        <wp:anchor distT="0" distB="0" distL="114300" distR="114300" simplePos="0" relativeHeight="251658240" behindDoc="1" locked="0" layoutInCell="1" allowOverlap="1" wp14:anchorId="672BC3FA" wp14:editId="150A30A7">
          <wp:simplePos x="0" y="0"/>
          <wp:positionH relativeFrom="column">
            <wp:posOffset>-785918</wp:posOffset>
          </wp:positionH>
          <wp:positionV relativeFrom="paragraph">
            <wp:posOffset>-444712</wp:posOffset>
          </wp:positionV>
          <wp:extent cx="7597812" cy="1074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sefremmende arbeid_aarsrapport2018_216.png"/>
                  <pic:cNvPicPr/>
                </pic:nvPicPr>
                <pic:blipFill>
                  <a:blip r:embed="rId1">
                    <a:extLst>
                      <a:ext uri="{28A0092B-C50C-407E-A947-70E740481C1C}">
                        <a14:useLocalDpi xmlns:a14="http://schemas.microsoft.com/office/drawing/2010/main" val="0"/>
                      </a:ext>
                    </a:extLst>
                  </a:blip>
                  <a:stretch>
                    <a:fillRect/>
                  </a:stretch>
                </pic:blipFill>
                <pic:spPr>
                  <a:xfrm>
                    <a:off x="0" y="0"/>
                    <a:ext cx="7597812" cy="1074674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6D7"/>
    <w:multiLevelType w:val="multilevel"/>
    <w:tmpl w:val="0400D266"/>
    <w:lvl w:ilvl="0">
      <w:start w:val="8"/>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13EE582C"/>
    <w:multiLevelType w:val="hybridMultilevel"/>
    <w:tmpl w:val="EE72385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0D53BF4"/>
    <w:multiLevelType w:val="multilevel"/>
    <w:tmpl w:val="6FDE327A"/>
    <w:lvl w:ilvl="0">
      <w:start w:val="3"/>
      <w:numFmt w:val="decimal"/>
      <w:lvlText w:val="%1."/>
      <w:lvlJc w:val="left"/>
      <w:pPr>
        <w:ind w:left="510" w:hanging="51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3064" w:hanging="108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760" w:hanging="180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456" w:hanging="2520"/>
      </w:pPr>
      <w:rPr>
        <w:rFonts w:hint="default"/>
      </w:rPr>
    </w:lvl>
  </w:abstractNum>
  <w:abstractNum w:abstractNumId="3">
    <w:nsid w:val="2647306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B17080"/>
    <w:multiLevelType w:val="multilevel"/>
    <w:tmpl w:val="E10AF258"/>
    <w:numStyleLink w:val="StrekListeStil"/>
  </w:abstractNum>
  <w:abstractNum w:abstractNumId="5">
    <w:nsid w:val="2CE500F9"/>
    <w:multiLevelType w:val="multilevel"/>
    <w:tmpl w:val="07E077DC"/>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39455118"/>
    <w:multiLevelType w:val="hybridMultilevel"/>
    <w:tmpl w:val="E6D2B2BA"/>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A3126E9"/>
    <w:multiLevelType w:val="hybridMultilevel"/>
    <w:tmpl w:val="75C470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C5954F7"/>
    <w:multiLevelType w:val="multilevel"/>
    <w:tmpl w:val="6DB88B88"/>
    <w:lvl w:ilvl="0">
      <w:start w:val="1"/>
      <w:numFmt w:val="decimal"/>
      <w:pStyle w:val="Heading1"/>
      <w:lvlText w:val="%1."/>
      <w:lvlJc w:val="left"/>
      <w:pPr>
        <w:ind w:left="360" w:hanging="360"/>
      </w:pPr>
      <w:rPr>
        <w:rFonts w:hint="default"/>
        <w:lang w:val="en-GB"/>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pStyle w:val="Heading4"/>
      <w:lvlText w:val="%1.%2.%3.%4."/>
      <w:lvlJc w:val="left"/>
      <w:pPr>
        <w:tabs>
          <w:tab w:val="num" w:pos="1276"/>
        </w:tabs>
        <w:ind w:left="1276" w:hanging="12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D1D37BB"/>
    <w:multiLevelType w:val="hybridMultilevel"/>
    <w:tmpl w:val="3876735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F7F3CD8"/>
    <w:multiLevelType w:val="multilevel"/>
    <w:tmpl w:val="BC00D92A"/>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47640914"/>
    <w:multiLevelType w:val="hybridMultilevel"/>
    <w:tmpl w:val="7E5885AE"/>
    <w:lvl w:ilvl="0" w:tplc="0D865176">
      <w:start w:val="4"/>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F6A69CD"/>
    <w:multiLevelType w:val="hybridMultilevel"/>
    <w:tmpl w:val="3A5AE2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3E83C5C"/>
    <w:multiLevelType w:val="hybridMultilevel"/>
    <w:tmpl w:val="FDFEAFC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563040D8"/>
    <w:multiLevelType w:val="hybridMultilevel"/>
    <w:tmpl w:val="E10AF258"/>
    <w:styleLink w:val="StrekListeStil"/>
    <w:lvl w:ilvl="0" w:tplc="A4B2B448">
      <w:start w:val="1"/>
      <w:numFmt w:val="decimal"/>
      <w:lvlText w:val="%1."/>
      <w:lvlJc w:val="left"/>
      <w:pPr>
        <w:ind w:left="720" w:hanging="360"/>
      </w:pPr>
    </w:lvl>
    <w:lvl w:ilvl="1" w:tplc="C3FE8E4E">
      <w:start w:val="1"/>
      <w:numFmt w:val="lowerLetter"/>
      <w:lvlText w:val="%2."/>
      <w:lvlJc w:val="left"/>
      <w:pPr>
        <w:ind w:left="1440" w:hanging="360"/>
      </w:pPr>
    </w:lvl>
    <w:lvl w:ilvl="2" w:tplc="BDB42F5C">
      <w:start w:val="1"/>
      <w:numFmt w:val="lowerRoman"/>
      <w:lvlText w:val="%3."/>
      <w:lvlJc w:val="right"/>
      <w:pPr>
        <w:ind w:left="2160" w:hanging="180"/>
      </w:pPr>
    </w:lvl>
    <w:lvl w:ilvl="3" w:tplc="3E2A1D8C">
      <w:start w:val="1"/>
      <w:numFmt w:val="decimal"/>
      <w:lvlText w:val="%4."/>
      <w:lvlJc w:val="left"/>
      <w:pPr>
        <w:ind w:left="2880" w:hanging="360"/>
      </w:pPr>
    </w:lvl>
    <w:lvl w:ilvl="4" w:tplc="D33058D8">
      <w:start w:val="1"/>
      <w:numFmt w:val="lowerLetter"/>
      <w:lvlText w:val="%5."/>
      <w:lvlJc w:val="left"/>
      <w:pPr>
        <w:ind w:left="3600" w:hanging="360"/>
      </w:pPr>
    </w:lvl>
    <w:lvl w:ilvl="5" w:tplc="DF38021C">
      <w:start w:val="1"/>
      <w:numFmt w:val="lowerRoman"/>
      <w:lvlText w:val="%6."/>
      <w:lvlJc w:val="right"/>
      <w:pPr>
        <w:ind w:left="4320" w:hanging="180"/>
      </w:pPr>
    </w:lvl>
    <w:lvl w:ilvl="6" w:tplc="2F3A5040">
      <w:start w:val="1"/>
      <w:numFmt w:val="decimal"/>
      <w:lvlText w:val="%7."/>
      <w:lvlJc w:val="left"/>
      <w:pPr>
        <w:ind w:left="5040" w:hanging="360"/>
      </w:pPr>
    </w:lvl>
    <w:lvl w:ilvl="7" w:tplc="15107774">
      <w:start w:val="1"/>
      <w:numFmt w:val="lowerLetter"/>
      <w:lvlText w:val="%8."/>
      <w:lvlJc w:val="left"/>
      <w:pPr>
        <w:ind w:left="5760" w:hanging="360"/>
      </w:pPr>
    </w:lvl>
    <w:lvl w:ilvl="8" w:tplc="22B4E02A">
      <w:start w:val="1"/>
      <w:numFmt w:val="lowerRoman"/>
      <w:lvlText w:val="%9."/>
      <w:lvlJc w:val="right"/>
      <w:pPr>
        <w:ind w:left="6480" w:hanging="180"/>
      </w:pPr>
    </w:lvl>
  </w:abstractNum>
  <w:abstractNum w:abstractNumId="15">
    <w:nsid w:val="60C105B2"/>
    <w:multiLevelType w:val="hybridMultilevel"/>
    <w:tmpl w:val="A6242412"/>
    <w:lvl w:ilvl="0" w:tplc="4C944218">
      <w:start w:val="1"/>
      <w:numFmt w:val="decimal"/>
      <w:lvlText w:val="%1."/>
      <w:lvlJc w:val="left"/>
      <w:pPr>
        <w:ind w:left="720" w:hanging="360"/>
      </w:pPr>
      <w:rPr>
        <w:sz w:val="32"/>
        <w:szCs w:val="32"/>
      </w:rPr>
    </w:lvl>
    <w:lvl w:ilvl="1" w:tplc="4E7ECB60">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7D2C6549"/>
    <w:multiLevelType w:val="multilevel"/>
    <w:tmpl w:val="B69E679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8"/>
  </w:num>
  <w:num w:numId="3">
    <w:abstractNumId w:val="14"/>
  </w:num>
  <w:num w:numId="4">
    <w:abstractNumId w:val="4"/>
  </w:num>
  <w:num w:numId="5">
    <w:abstractNumId w:val="15"/>
  </w:num>
  <w:num w:numId="6">
    <w:abstractNumId w:val="7"/>
  </w:num>
  <w:num w:numId="7">
    <w:abstractNumId w:val="6"/>
  </w:num>
  <w:num w:numId="8">
    <w:abstractNumId w:val="9"/>
  </w:num>
  <w:num w:numId="9">
    <w:abstractNumId w:val="12"/>
  </w:num>
  <w:num w:numId="10">
    <w:abstractNumId w:val="11"/>
  </w:num>
  <w:num w:numId="11">
    <w:abstractNumId w:val="16"/>
  </w:num>
  <w:num w:numId="12">
    <w:abstractNumId w:val="2"/>
  </w:num>
  <w:num w:numId="13">
    <w:abstractNumId w:val="10"/>
  </w:num>
  <w:num w:numId="14">
    <w:abstractNumId w:val="0"/>
  </w:num>
  <w:num w:numId="15">
    <w:abstractNumId w:val="1"/>
  </w:num>
  <w:num w:numId="16">
    <w:abstractNumId w:val="5"/>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 Ligh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2txr5zoxtwf1efa5xpxtr4zf92dzttddep&quot;&gt;Steffen_2018_på pc-Converted&lt;record-ids&gt;&lt;item&gt;2464&lt;/item&gt;&lt;/record-ids&gt;&lt;/item&gt;&lt;/Libraries&gt;"/>
  </w:docVars>
  <w:rsids>
    <w:rsidRoot w:val="005F287C"/>
    <w:rsid w:val="000270EA"/>
    <w:rsid w:val="0006461B"/>
    <w:rsid w:val="000C7E7A"/>
    <w:rsid w:val="000D475D"/>
    <w:rsid w:val="000D7230"/>
    <w:rsid w:val="000E2087"/>
    <w:rsid w:val="000F105D"/>
    <w:rsid w:val="00102F6E"/>
    <w:rsid w:val="00113436"/>
    <w:rsid w:val="00142773"/>
    <w:rsid w:val="00153D48"/>
    <w:rsid w:val="001563F4"/>
    <w:rsid w:val="0015770E"/>
    <w:rsid w:val="001A11D7"/>
    <w:rsid w:val="001A16CB"/>
    <w:rsid w:val="001C13CE"/>
    <w:rsid w:val="001C5DC9"/>
    <w:rsid w:val="001C798C"/>
    <w:rsid w:val="001D00C0"/>
    <w:rsid w:val="001E55C6"/>
    <w:rsid w:val="001F44C5"/>
    <w:rsid w:val="00204DE4"/>
    <w:rsid w:val="00206FBB"/>
    <w:rsid w:val="00232BBF"/>
    <w:rsid w:val="00244B9A"/>
    <w:rsid w:val="002549BC"/>
    <w:rsid w:val="00295592"/>
    <w:rsid w:val="002C1CA5"/>
    <w:rsid w:val="002D1676"/>
    <w:rsid w:val="00337A24"/>
    <w:rsid w:val="0036042F"/>
    <w:rsid w:val="00374721"/>
    <w:rsid w:val="00384647"/>
    <w:rsid w:val="00390A7B"/>
    <w:rsid w:val="003A6588"/>
    <w:rsid w:val="003A6C83"/>
    <w:rsid w:val="003B16F9"/>
    <w:rsid w:val="003E3960"/>
    <w:rsid w:val="003F0946"/>
    <w:rsid w:val="00432F84"/>
    <w:rsid w:val="00447F77"/>
    <w:rsid w:val="004D4BE6"/>
    <w:rsid w:val="004F5944"/>
    <w:rsid w:val="00522EC5"/>
    <w:rsid w:val="00527AC1"/>
    <w:rsid w:val="00553A3C"/>
    <w:rsid w:val="00555CAA"/>
    <w:rsid w:val="005732E7"/>
    <w:rsid w:val="00587CAF"/>
    <w:rsid w:val="005D3AD1"/>
    <w:rsid w:val="005F287C"/>
    <w:rsid w:val="00607831"/>
    <w:rsid w:val="00615A1E"/>
    <w:rsid w:val="00622E06"/>
    <w:rsid w:val="00641858"/>
    <w:rsid w:val="00643F30"/>
    <w:rsid w:val="00670298"/>
    <w:rsid w:val="00670457"/>
    <w:rsid w:val="00694C34"/>
    <w:rsid w:val="006A4EBB"/>
    <w:rsid w:val="006B0048"/>
    <w:rsid w:val="006B55DB"/>
    <w:rsid w:val="006D7830"/>
    <w:rsid w:val="006F1212"/>
    <w:rsid w:val="00722C9B"/>
    <w:rsid w:val="007346A6"/>
    <w:rsid w:val="00763559"/>
    <w:rsid w:val="007663F6"/>
    <w:rsid w:val="00773130"/>
    <w:rsid w:val="00793239"/>
    <w:rsid w:val="007A571E"/>
    <w:rsid w:val="007B0CC0"/>
    <w:rsid w:val="007F0EEC"/>
    <w:rsid w:val="008020F6"/>
    <w:rsid w:val="00815848"/>
    <w:rsid w:val="00817DCD"/>
    <w:rsid w:val="00853B9F"/>
    <w:rsid w:val="00881ED2"/>
    <w:rsid w:val="00883EEA"/>
    <w:rsid w:val="008927A9"/>
    <w:rsid w:val="008B2CE3"/>
    <w:rsid w:val="008B51CF"/>
    <w:rsid w:val="00912273"/>
    <w:rsid w:val="009332CD"/>
    <w:rsid w:val="00943B1A"/>
    <w:rsid w:val="00951619"/>
    <w:rsid w:val="00962688"/>
    <w:rsid w:val="00963880"/>
    <w:rsid w:val="00972E18"/>
    <w:rsid w:val="00977FBB"/>
    <w:rsid w:val="009910A1"/>
    <w:rsid w:val="0099611C"/>
    <w:rsid w:val="00A02E51"/>
    <w:rsid w:val="00A07E4E"/>
    <w:rsid w:val="00A13E23"/>
    <w:rsid w:val="00A32A73"/>
    <w:rsid w:val="00A57891"/>
    <w:rsid w:val="00A64619"/>
    <w:rsid w:val="00AB6BF3"/>
    <w:rsid w:val="00AC38FA"/>
    <w:rsid w:val="00AC59F9"/>
    <w:rsid w:val="00AC6EBD"/>
    <w:rsid w:val="00AE1D10"/>
    <w:rsid w:val="00AF4CB5"/>
    <w:rsid w:val="00B212E9"/>
    <w:rsid w:val="00B218C8"/>
    <w:rsid w:val="00B37CC9"/>
    <w:rsid w:val="00B4050F"/>
    <w:rsid w:val="00B44830"/>
    <w:rsid w:val="00B55BFF"/>
    <w:rsid w:val="00B73BB0"/>
    <w:rsid w:val="00BA1FBB"/>
    <w:rsid w:val="00BC510C"/>
    <w:rsid w:val="00BE09AB"/>
    <w:rsid w:val="00BF1CEC"/>
    <w:rsid w:val="00C00AAE"/>
    <w:rsid w:val="00C13A1A"/>
    <w:rsid w:val="00C30E75"/>
    <w:rsid w:val="00C46628"/>
    <w:rsid w:val="00C5293E"/>
    <w:rsid w:val="00C7147E"/>
    <w:rsid w:val="00C97A10"/>
    <w:rsid w:val="00CC0A60"/>
    <w:rsid w:val="00CC78A6"/>
    <w:rsid w:val="00CE22FC"/>
    <w:rsid w:val="00CE603C"/>
    <w:rsid w:val="00CF5AC8"/>
    <w:rsid w:val="00D0145C"/>
    <w:rsid w:val="00D156F4"/>
    <w:rsid w:val="00D3754A"/>
    <w:rsid w:val="00D67DF3"/>
    <w:rsid w:val="00D713DD"/>
    <w:rsid w:val="00D7537D"/>
    <w:rsid w:val="00DA4277"/>
    <w:rsid w:val="00DA764D"/>
    <w:rsid w:val="00DB1DAC"/>
    <w:rsid w:val="00DB5403"/>
    <w:rsid w:val="00DC7C9C"/>
    <w:rsid w:val="00DF2CC0"/>
    <w:rsid w:val="00E00CAC"/>
    <w:rsid w:val="00E12AC3"/>
    <w:rsid w:val="00E141AF"/>
    <w:rsid w:val="00E436A6"/>
    <w:rsid w:val="00E45C30"/>
    <w:rsid w:val="00E53A67"/>
    <w:rsid w:val="00E71977"/>
    <w:rsid w:val="00E80870"/>
    <w:rsid w:val="00E83C62"/>
    <w:rsid w:val="00ED3477"/>
    <w:rsid w:val="00EF55FC"/>
    <w:rsid w:val="00F06A8B"/>
    <w:rsid w:val="00F268B4"/>
    <w:rsid w:val="00F276F6"/>
    <w:rsid w:val="00F4329D"/>
    <w:rsid w:val="00F65688"/>
    <w:rsid w:val="00F9338A"/>
    <w:rsid w:val="00FA41D3"/>
    <w:rsid w:val="00FC42B0"/>
    <w:rsid w:val="00FE3740"/>
    <w:rsid w:val="00FF17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8A2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9BC"/>
    <w:pPr>
      <w:spacing w:line="360" w:lineRule="auto"/>
      <w:jc w:val="both"/>
    </w:pPr>
    <w:rPr>
      <w:rFonts w:ascii="Times New Roman" w:hAnsi="Times New Roman"/>
      <w:sz w:val="22"/>
    </w:rPr>
  </w:style>
  <w:style w:type="paragraph" w:styleId="Heading1">
    <w:name w:val="heading 1"/>
    <w:basedOn w:val="Normal"/>
    <w:next w:val="Normal"/>
    <w:link w:val="Heading1Char"/>
    <w:uiPriority w:val="9"/>
    <w:qFormat/>
    <w:rsid w:val="0006461B"/>
    <w:pPr>
      <w:keepNext/>
      <w:keepLines/>
      <w:numPr>
        <w:numId w:val="2"/>
      </w:numPr>
      <w:spacing w:after="120"/>
      <w:outlineLvl w:val="0"/>
    </w:pPr>
    <w:rPr>
      <w:rFonts w:eastAsiaTheme="majorEastAsia" w:cstheme="majorBidi"/>
      <w:b/>
      <w:bCs/>
      <w:sz w:val="36"/>
      <w:szCs w:val="32"/>
    </w:rPr>
  </w:style>
  <w:style w:type="paragraph" w:styleId="Heading2">
    <w:name w:val="heading 2"/>
    <w:basedOn w:val="Normal"/>
    <w:next w:val="Normal"/>
    <w:link w:val="Heading2Char"/>
    <w:uiPriority w:val="9"/>
    <w:unhideWhenUsed/>
    <w:qFormat/>
    <w:rsid w:val="0006461B"/>
    <w:pPr>
      <w:keepNext/>
      <w:keepLines/>
      <w:numPr>
        <w:ilvl w:val="1"/>
        <w:numId w:val="2"/>
      </w:numPr>
      <w:spacing w:before="240" w:after="120"/>
      <w:outlineLvl w:val="1"/>
    </w:pPr>
    <w:rPr>
      <w:rFonts w:asciiTheme="majorHAnsi" w:eastAsiaTheme="majorEastAsia" w:hAnsiTheme="majorHAnsi" w:cstheme="majorBidi"/>
      <w:b/>
      <w:bCs/>
      <w:color w:val="252525" w:themeColor="text1"/>
      <w:sz w:val="32"/>
      <w:szCs w:val="26"/>
    </w:rPr>
  </w:style>
  <w:style w:type="paragraph" w:styleId="Heading3">
    <w:name w:val="heading 3"/>
    <w:basedOn w:val="Normal"/>
    <w:next w:val="Normal"/>
    <w:link w:val="Heading3Char"/>
    <w:uiPriority w:val="9"/>
    <w:unhideWhenUsed/>
    <w:qFormat/>
    <w:rsid w:val="0006461B"/>
    <w:pPr>
      <w:keepNext/>
      <w:keepLines/>
      <w:numPr>
        <w:ilvl w:val="2"/>
        <w:numId w:val="2"/>
      </w:numPr>
      <w:spacing w:before="240" w:after="120"/>
      <w:outlineLvl w:val="2"/>
    </w:pPr>
    <w:rPr>
      <w:rFonts w:ascii="Calibri" w:eastAsiaTheme="majorEastAsia" w:hAnsi="Calibri" w:cstheme="majorBidi"/>
      <w:bCs/>
      <w:color w:val="252525" w:themeColor="text1"/>
      <w:sz w:val="28"/>
    </w:rPr>
  </w:style>
  <w:style w:type="paragraph" w:styleId="Heading4">
    <w:name w:val="heading 4"/>
    <w:basedOn w:val="Normal"/>
    <w:next w:val="Normal"/>
    <w:link w:val="Heading4Char"/>
    <w:uiPriority w:val="9"/>
    <w:unhideWhenUsed/>
    <w:qFormat/>
    <w:rsid w:val="0006461B"/>
    <w:pPr>
      <w:keepNext/>
      <w:keepLines/>
      <w:numPr>
        <w:ilvl w:val="3"/>
        <w:numId w:val="2"/>
      </w:numPr>
      <w:spacing w:before="240" w:after="120"/>
      <w:outlineLvl w:val="3"/>
    </w:pPr>
    <w:rPr>
      <w:rFonts w:asciiTheme="majorHAnsi" w:eastAsiaTheme="majorEastAsia" w:hAnsiTheme="majorHAnsi" w:cstheme="majorBidi"/>
      <w:bCs/>
      <w:i/>
      <w:iCs/>
      <w:color w:val="25252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87C"/>
    <w:pPr>
      <w:tabs>
        <w:tab w:val="center" w:pos="4320"/>
        <w:tab w:val="right" w:pos="8640"/>
      </w:tabs>
    </w:pPr>
  </w:style>
  <w:style w:type="character" w:customStyle="1" w:styleId="HeaderChar">
    <w:name w:val="Header Char"/>
    <w:basedOn w:val="DefaultParagraphFont"/>
    <w:link w:val="Header"/>
    <w:uiPriority w:val="99"/>
    <w:rsid w:val="005F287C"/>
  </w:style>
  <w:style w:type="paragraph" w:styleId="Footer">
    <w:name w:val="footer"/>
    <w:basedOn w:val="Normal"/>
    <w:link w:val="FooterChar"/>
    <w:uiPriority w:val="99"/>
    <w:unhideWhenUsed/>
    <w:rsid w:val="00FA41D3"/>
    <w:pPr>
      <w:tabs>
        <w:tab w:val="center" w:pos="4320"/>
        <w:tab w:val="right" w:pos="8640"/>
      </w:tabs>
      <w:spacing w:line="190" w:lineRule="exact"/>
    </w:pPr>
    <w:rPr>
      <w:sz w:val="16"/>
    </w:rPr>
  </w:style>
  <w:style w:type="character" w:customStyle="1" w:styleId="FooterChar">
    <w:name w:val="Footer Char"/>
    <w:basedOn w:val="DefaultParagraphFont"/>
    <w:link w:val="Footer"/>
    <w:uiPriority w:val="99"/>
    <w:rsid w:val="00FA41D3"/>
    <w:rPr>
      <w:rFonts w:ascii="Calibri Light" w:hAnsi="Calibri Light"/>
      <w:sz w:val="16"/>
    </w:rPr>
  </w:style>
  <w:style w:type="paragraph" w:styleId="BalloonText">
    <w:name w:val="Balloon Text"/>
    <w:basedOn w:val="Normal"/>
    <w:link w:val="BalloonTextChar"/>
    <w:uiPriority w:val="99"/>
    <w:semiHidden/>
    <w:unhideWhenUsed/>
    <w:rsid w:val="005F28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87C"/>
    <w:rPr>
      <w:rFonts w:ascii="Lucida Grande" w:hAnsi="Lucida Grande" w:cs="Lucida Grande"/>
      <w:sz w:val="18"/>
      <w:szCs w:val="18"/>
    </w:rPr>
  </w:style>
  <w:style w:type="table" w:styleId="TableGrid">
    <w:name w:val="Table Grid"/>
    <w:basedOn w:val="TableNormal"/>
    <w:uiPriority w:val="39"/>
    <w:rsid w:val="00C52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
    <w:name w:val="Adress"/>
    <w:basedOn w:val="Normal"/>
    <w:qFormat/>
    <w:rsid w:val="00C46628"/>
    <w:pPr>
      <w:spacing w:line="240" w:lineRule="exact"/>
    </w:pPr>
  </w:style>
  <w:style w:type="paragraph" w:customStyle="1" w:styleId="Style1">
    <w:name w:val="Style1"/>
    <w:basedOn w:val="Normal"/>
    <w:qFormat/>
    <w:rsid w:val="000E2087"/>
    <w:pPr>
      <w:spacing w:line="260" w:lineRule="exact"/>
    </w:pPr>
    <w:rPr>
      <w:sz w:val="20"/>
      <w:szCs w:val="16"/>
    </w:rPr>
  </w:style>
  <w:style w:type="paragraph" w:customStyle="1" w:styleId="PurpleToptext">
    <w:name w:val="Purple Top text"/>
    <w:basedOn w:val="Normal"/>
    <w:qFormat/>
    <w:rsid w:val="000E2087"/>
    <w:pPr>
      <w:spacing w:line="260" w:lineRule="exact"/>
    </w:pPr>
    <w:rPr>
      <w:color w:val="4B4CAD" w:themeColor="accent1"/>
      <w:sz w:val="20"/>
      <w:szCs w:val="16"/>
    </w:rPr>
  </w:style>
  <w:style w:type="paragraph" w:styleId="Title">
    <w:name w:val="Title"/>
    <w:basedOn w:val="Normal"/>
    <w:next w:val="Normal"/>
    <w:link w:val="TitleChar"/>
    <w:uiPriority w:val="10"/>
    <w:qFormat/>
    <w:rsid w:val="00DA764D"/>
    <w:pPr>
      <w:spacing w:after="120" w:line="228" w:lineRule="auto"/>
      <w:contextualSpacing/>
    </w:pPr>
    <w:rPr>
      <w:rFonts w:eastAsiaTheme="majorEastAsia" w:cstheme="majorBidi"/>
      <w:b/>
      <w:color w:val="252525" w:themeColor="text1"/>
      <w:spacing w:val="5"/>
      <w:kern w:val="28"/>
      <w:sz w:val="36"/>
      <w:szCs w:val="52"/>
    </w:rPr>
  </w:style>
  <w:style w:type="character" w:customStyle="1" w:styleId="TitleChar">
    <w:name w:val="Title Char"/>
    <w:basedOn w:val="DefaultParagraphFont"/>
    <w:link w:val="Title"/>
    <w:uiPriority w:val="10"/>
    <w:rsid w:val="00DA764D"/>
    <w:rPr>
      <w:rFonts w:ascii="Times New Roman" w:eastAsiaTheme="majorEastAsia" w:hAnsi="Times New Roman" w:cstheme="majorBidi"/>
      <w:b/>
      <w:color w:val="252525" w:themeColor="text1"/>
      <w:spacing w:val="5"/>
      <w:kern w:val="28"/>
      <w:sz w:val="36"/>
      <w:szCs w:val="52"/>
      <w:lang w:val="sk-SK"/>
    </w:rPr>
  </w:style>
  <w:style w:type="character" w:customStyle="1" w:styleId="Heading1Char">
    <w:name w:val="Heading 1 Char"/>
    <w:basedOn w:val="DefaultParagraphFont"/>
    <w:link w:val="Heading1"/>
    <w:uiPriority w:val="9"/>
    <w:rsid w:val="0006461B"/>
    <w:rPr>
      <w:rFonts w:ascii="Times New Roman" w:eastAsiaTheme="majorEastAsia" w:hAnsi="Times New Roman" w:cstheme="majorBidi"/>
      <w:b/>
      <w:bCs/>
      <w:sz w:val="36"/>
      <w:szCs w:val="32"/>
    </w:rPr>
  </w:style>
  <w:style w:type="character" w:customStyle="1" w:styleId="Heading2Char">
    <w:name w:val="Heading 2 Char"/>
    <w:basedOn w:val="DefaultParagraphFont"/>
    <w:link w:val="Heading2"/>
    <w:uiPriority w:val="9"/>
    <w:rsid w:val="0006461B"/>
    <w:rPr>
      <w:rFonts w:asciiTheme="majorHAnsi" w:eastAsiaTheme="majorEastAsia" w:hAnsiTheme="majorHAnsi" w:cstheme="majorBidi"/>
      <w:b/>
      <w:bCs/>
      <w:color w:val="252525" w:themeColor="text1"/>
      <w:sz w:val="32"/>
      <w:szCs w:val="26"/>
    </w:rPr>
  </w:style>
  <w:style w:type="character" w:customStyle="1" w:styleId="Heading3Char">
    <w:name w:val="Heading 3 Char"/>
    <w:basedOn w:val="DefaultParagraphFont"/>
    <w:link w:val="Heading3"/>
    <w:uiPriority w:val="9"/>
    <w:rsid w:val="0006461B"/>
    <w:rPr>
      <w:rFonts w:ascii="Calibri" w:eastAsiaTheme="majorEastAsia" w:hAnsi="Calibri" w:cstheme="majorBidi"/>
      <w:bCs/>
      <w:color w:val="252525" w:themeColor="text1"/>
      <w:sz w:val="28"/>
    </w:rPr>
  </w:style>
  <w:style w:type="character" w:customStyle="1" w:styleId="Heading4Char">
    <w:name w:val="Heading 4 Char"/>
    <w:basedOn w:val="DefaultParagraphFont"/>
    <w:link w:val="Heading4"/>
    <w:uiPriority w:val="9"/>
    <w:rsid w:val="0006461B"/>
    <w:rPr>
      <w:rFonts w:asciiTheme="majorHAnsi" w:eastAsiaTheme="majorEastAsia" w:hAnsiTheme="majorHAnsi" w:cstheme="majorBidi"/>
      <w:bCs/>
      <w:i/>
      <w:iCs/>
      <w:color w:val="252525" w:themeColor="text1"/>
    </w:rPr>
  </w:style>
  <w:style w:type="paragraph" w:styleId="Subtitle">
    <w:name w:val="Subtitle"/>
    <w:basedOn w:val="Normal"/>
    <w:next w:val="Normal"/>
    <w:link w:val="SubtitleChar"/>
    <w:uiPriority w:val="11"/>
    <w:qFormat/>
    <w:rsid w:val="00CF5AC8"/>
    <w:pPr>
      <w:numPr>
        <w:ilvl w:val="1"/>
      </w:numPr>
    </w:pPr>
    <w:rPr>
      <w:rFonts w:asciiTheme="majorHAnsi" w:eastAsiaTheme="majorEastAsia" w:hAnsiTheme="majorHAnsi" w:cstheme="majorBidi"/>
      <w:i/>
      <w:iCs/>
      <w:color w:val="4B4CAD" w:themeColor="accent1"/>
      <w:spacing w:val="15"/>
    </w:rPr>
  </w:style>
  <w:style w:type="character" w:customStyle="1" w:styleId="SubtitleChar">
    <w:name w:val="Subtitle Char"/>
    <w:basedOn w:val="DefaultParagraphFont"/>
    <w:link w:val="Subtitle"/>
    <w:uiPriority w:val="11"/>
    <w:rsid w:val="00CF5AC8"/>
    <w:rPr>
      <w:rFonts w:asciiTheme="majorHAnsi" w:eastAsiaTheme="majorEastAsia" w:hAnsiTheme="majorHAnsi" w:cstheme="majorBidi"/>
      <w:i/>
      <w:iCs/>
      <w:color w:val="4B4CAD" w:themeColor="accent1"/>
      <w:spacing w:val="15"/>
    </w:rPr>
  </w:style>
  <w:style w:type="paragraph" w:customStyle="1" w:styleId="Signatur">
    <w:name w:val="Signatur"/>
    <w:basedOn w:val="Normal"/>
    <w:qFormat/>
    <w:rsid w:val="00CF5AC8"/>
    <w:rPr>
      <w:rFonts w:ascii="Calibri" w:hAnsi="Calibri"/>
      <w:b/>
    </w:rPr>
  </w:style>
  <w:style w:type="paragraph" w:customStyle="1" w:styleId="GreenLine">
    <w:name w:val="Green Line"/>
    <w:basedOn w:val="Footer"/>
    <w:qFormat/>
    <w:rsid w:val="00390A7B"/>
    <w:pPr>
      <w:spacing w:after="120" w:line="120" w:lineRule="auto"/>
    </w:pPr>
    <w:rPr>
      <w:color w:val="3BAFA2" w:themeColor="accent2"/>
      <w:sz w:val="21"/>
      <w:szCs w:val="21"/>
    </w:rPr>
  </w:style>
  <w:style w:type="character" w:styleId="PageNumber">
    <w:name w:val="page number"/>
    <w:basedOn w:val="DefaultParagraphFont"/>
    <w:uiPriority w:val="99"/>
    <w:semiHidden/>
    <w:unhideWhenUsed/>
    <w:rsid w:val="007F0EEC"/>
  </w:style>
  <w:style w:type="paragraph" w:customStyle="1" w:styleId="Dokumenttype">
    <w:name w:val="Dokumenttype"/>
    <w:basedOn w:val="Normal"/>
    <w:qFormat/>
    <w:rsid w:val="00C00AAE"/>
    <w:pPr>
      <w:spacing w:line="240" w:lineRule="exact"/>
    </w:pPr>
    <w:rPr>
      <w:rFonts w:ascii="Calibri" w:hAnsi="Calibri"/>
      <w:b/>
      <w:sz w:val="28"/>
      <w:szCs w:val="28"/>
    </w:rPr>
  </w:style>
  <w:style w:type="numbering" w:styleId="111111">
    <w:name w:val="Outline List 2"/>
    <w:basedOn w:val="NoList"/>
    <w:uiPriority w:val="99"/>
    <w:semiHidden/>
    <w:unhideWhenUsed/>
    <w:rsid w:val="00DA764D"/>
    <w:pPr>
      <w:numPr>
        <w:numId w:val="1"/>
      </w:numPr>
    </w:pPr>
  </w:style>
  <w:style w:type="paragraph" w:styleId="ListParagraph">
    <w:name w:val="List Paragraph"/>
    <w:basedOn w:val="Normal"/>
    <w:uiPriority w:val="34"/>
    <w:qFormat/>
    <w:rsid w:val="00384647"/>
    <w:pPr>
      <w:ind w:left="720"/>
      <w:contextualSpacing/>
    </w:pPr>
  </w:style>
  <w:style w:type="paragraph" w:styleId="TOC1">
    <w:name w:val="toc 1"/>
    <w:basedOn w:val="Normal"/>
    <w:next w:val="Normal"/>
    <w:autoRedefine/>
    <w:uiPriority w:val="39"/>
    <w:unhideWhenUsed/>
    <w:rsid w:val="00D156F4"/>
    <w:pPr>
      <w:ind w:left="720" w:hanging="720"/>
    </w:pPr>
    <w:rPr>
      <w:rFonts w:asciiTheme="minorHAnsi" w:hAnsiTheme="minorHAnsi"/>
      <w:b/>
    </w:rPr>
  </w:style>
  <w:style w:type="paragraph" w:styleId="TOC2">
    <w:name w:val="toc 2"/>
    <w:basedOn w:val="Normal"/>
    <w:next w:val="Normal"/>
    <w:autoRedefine/>
    <w:uiPriority w:val="39"/>
    <w:unhideWhenUsed/>
    <w:rsid w:val="00D156F4"/>
    <w:pPr>
      <w:ind w:left="1145" w:hanging="720"/>
    </w:pPr>
  </w:style>
  <w:style w:type="paragraph" w:styleId="TOC3">
    <w:name w:val="toc 3"/>
    <w:basedOn w:val="Normal"/>
    <w:next w:val="Normal"/>
    <w:autoRedefine/>
    <w:uiPriority w:val="39"/>
    <w:unhideWhenUsed/>
    <w:rsid w:val="00D156F4"/>
    <w:pPr>
      <w:ind w:left="1145" w:hanging="720"/>
    </w:pPr>
  </w:style>
  <w:style w:type="paragraph" w:styleId="TOC4">
    <w:name w:val="toc 4"/>
    <w:basedOn w:val="Normal"/>
    <w:next w:val="Normal"/>
    <w:autoRedefine/>
    <w:uiPriority w:val="39"/>
    <w:unhideWhenUsed/>
    <w:rsid w:val="00D156F4"/>
    <w:pPr>
      <w:ind w:left="1145" w:hanging="720"/>
    </w:pPr>
  </w:style>
  <w:style w:type="paragraph" w:styleId="TOC5">
    <w:name w:val="toc 5"/>
    <w:basedOn w:val="Normal"/>
    <w:next w:val="Normal"/>
    <w:autoRedefine/>
    <w:uiPriority w:val="39"/>
    <w:unhideWhenUsed/>
    <w:rsid w:val="00384647"/>
    <w:pPr>
      <w:ind w:left="960"/>
    </w:pPr>
  </w:style>
  <w:style w:type="paragraph" w:styleId="TOC6">
    <w:name w:val="toc 6"/>
    <w:basedOn w:val="Normal"/>
    <w:next w:val="Normal"/>
    <w:autoRedefine/>
    <w:uiPriority w:val="39"/>
    <w:unhideWhenUsed/>
    <w:rsid w:val="00384647"/>
    <w:pPr>
      <w:ind w:left="1200"/>
    </w:pPr>
  </w:style>
  <w:style w:type="paragraph" w:styleId="TOC7">
    <w:name w:val="toc 7"/>
    <w:basedOn w:val="Normal"/>
    <w:next w:val="Normal"/>
    <w:autoRedefine/>
    <w:uiPriority w:val="39"/>
    <w:unhideWhenUsed/>
    <w:rsid w:val="00384647"/>
    <w:pPr>
      <w:ind w:left="1440"/>
    </w:pPr>
  </w:style>
  <w:style w:type="paragraph" w:styleId="TOC8">
    <w:name w:val="toc 8"/>
    <w:basedOn w:val="Normal"/>
    <w:next w:val="Normal"/>
    <w:autoRedefine/>
    <w:uiPriority w:val="39"/>
    <w:unhideWhenUsed/>
    <w:rsid w:val="00384647"/>
    <w:pPr>
      <w:ind w:left="1680"/>
    </w:pPr>
  </w:style>
  <w:style w:type="paragraph" w:styleId="TOC9">
    <w:name w:val="toc 9"/>
    <w:basedOn w:val="Normal"/>
    <w:next w:val="Normal"/>
    <w:autoRedefine/>
    <w:uiPriority w:val="39"/>
    <w:unhideWhenUsed/>
    <w:rsid w:val="00384647"/>
    <w:pPr>
      <w:ind w:left="1920"/>
    </w:pPr>
  </w:style>
  <w:style w:type="character" w:styleId="Hyperlink">
    <w:name w:val="Hyperlink"/>
    <w:basedOn w:val="DefaultParagraphFont"/>
    <w:uiPriority w:val="99"/>
    <w:unhideWhenUsed/>
    <w:rsid w:val="003B16F9"/>
    <w:rPr>
      <w:color w:val="005B9A" w:themeColor="hyperlink"/>
      <w:u w:val="single"/>
    </w:rPr>
  </w:style>
  <w:style w:type="paragraph" w:styleId="FootnoteText">
    <w:name w:val="footnote text"/>
    <w:basedOn w:val="Normal"/>
    <w:link w:val="FootnoteTextChar"/>
    <w:uiPriority w:val="99"/>
    <w:unhideWhenUsed/>
    <w:rsid w:val="00912273"/>
    <w:pPr>
      <w:spacing w:line="240" w:lineRule="auto"/>
    </w:pPr>
    <w:rPr>
      <w:sz w:val="20"/>
    </w:rPr>
  </w:style>
  <w:style w:type="character" w:customStyle="1" w:styleId="FootnoteTextChar">
    <w:name w:val="Footnote Text Char"/>
    <w:basedOn w:val="DefaultParagraphFont"/>
    <w:link w:val="FootnoteText"/>
    <w:uiPriority w:val="99"/>
    <w:rsid w:val="00912273"/>
    <w:rPr>
      <w:rFonts w:ascii="Calibri Light" w:hAnsi="Calibri Light"/>
      <w:sz w:val="20"/>
    </w:rPr>
  </w:style>
  <w:style w:type="character" w:styleId="FootnoteReference">
    <w:name w:val="footnote reference"/>
    <w:basedOn w:val="DefaultParagraphFont"/>
    <w:uiPriority w:val="99"/>
    <w:unhideWhenUsed/>
    <w:rsid w:val="003B16F9"/>
    <w:rPr>
      <w:vertAlign w:val="superscript"/>
    </w:rPr>
  </w:style>
  <w:style w:type="paragraph" w:styleId="DocumentMap">
    <w:name w:val="Document Map"/>
    <w:basedOn w:val="Normal"/>
    <w:link w:val="DocumentMapChar"/>
    <w:uiPriority w:val="99"/>
    <w:semiHidden/>
    <w:unhideWhenUsed/>
    <w:rsid w:val="00232BBF"/>
    <w:pPr>
      <w:spacing w:line="240" w:lineRule="auto"/>
    </w:pPr>
    <w:rPr>
      <w:rFonts w:cs="Times New Roman"/>
    </w:rPr>
  </w:style>
  <w:style w:type="character" w:customStyle="1" w:styleId="DocumentMapChar">
    <w:name w:val="Document Map Char"/>
    <w:basedOn w:val="DefaultParagraphFont"/>
    <w:link w:val="DocumentMap"/>
    <w:uiPriority w:val="99"/>
    <w:semiHidden/>
    <w:rsid w:val="00232BBF"/>
    <w:rPr>
      <w:rFonts w:ascii="Times New Roman" w:hAnsi="Times New Roman" w:cs="Times New Roman"/>
    </w:rPr>
  </w:style>
  <w:style w:type="paragraph" w:styleId="NoSpacing">
    <w:name w:val="No Spacing"/>
    <w:link w:val="NoSpacingChar"/>
    <w:uiPriority w:val="1"/>
    <w:qFormat/>
    <w:rsid w:val="00232BBF"/>
    <w:rPr>
      <w:sz w:val="22"/>
      <w:szCs w:val="22"/>
      <w:lang w:eastAsia="zh-CN"/>
    </w:rPr>
  </w:style>
  <w:style w:type="character" w:customStyle="1" w:styleId="NoSpacingChar">
    <w:name w:val="No Spacing Char"/>
    <w:basedOn w:val="DefaultParagraphFont"/>
    <w:link w:val="NoSpacing"/>
    <w:uiPriority w:val="1"/>
    <w:rsid w:val="00232BBF"/>
    <w:rPr>
      <w:sz w:val="22"/>
      <w:szCs w:val="22"/>
      <w:lang w:eastAsia="zh-CN"/>
    </w:rPr>
  </w:style>
  <w:style w:type="paragraph" w:styleId="List">
    <w:name w:val="List"/>
    <w:basedOn w:val="Normal"/>
    <w:rsid w:val="00204DE4"/>
    <w:pPr>
      <w:numPr>
        <w:numId w:val="4"/>
      </w:numPr>
      <w:spacing w:after="120" w:line="240" w:lineRule="auto"/>
      <w:contextualSpacing/>
      <w:jc w:val="left"/>
    </w:pPr>
    <w:rPr>
      <w:rFonts w:ascii="Arial" w:eastAsia="Times New Roman" w:hAnsi="Arial"/>
      <w:spacing w:val="4"/>
      <w:szCs w:val="22"/>
      <w:lang w:eastAsia="nb-NO"/>
    </w:rPr>
  </w:style>
  <w:style w:type="paragraph" w:styleId="List2">
    <w:name w:val="List 2"/>
    <w:basedOn w:val="Normal"/>
    <w:rsid w:val="00204DE4"/>
    <w:pPr>
      <w:numPr>
        <w:ilvl w:val="1"/>
        <w:numId w:val="4"/>
      </w:numPr>
      <w:spacing w:line="276" w:lineRule="auto"/>
      <w:jc w:val="left"/>
    </w:pPr>
    <w:rPr>
      <w:rFonts w:ascii="Arial" w:eastAsia="Times New Roman" w:hAnsi="Arial"/>
      <w:spacing w:val="4"/>
      <w:szCs w:val="22"/>
      <w:lang w:eastAsia="nb-NO"/>
    </w:rPr>
  </w:style>
  <w:style w:type="paragraph" w:styleId="List3">
    <w:name w:val="List 3"/>
    <w:basedOn w:val="Normal"/>
    <w:rsid w:val="00204DE4"/>
    <w:pPr>
      <w:numPr>
        <w:ilvl w:val="2"/>
        <w:numId w:val="4"/>
      </w:numPr>
      <w:spacing w:line="276" w:lineRule="auto"/>
      <w:jc w:val="left"/>
    </w:pPr>
    <w:rPr>
      <w:rFonts w:ascii="Arial" w:eastAsia="Times New Roman" w:hAnsi="Arial"/>
      <w:szCs w:val="22"/>
      <w:lang w:eastAsia="nb-NO"/>
    </w:rPr>
  </w:style>
  <w:style w:type="paragraph" w:styleId="List4">
    <w:name w:val="List 4"/>
    <w:basedOn w:val="Normal"/>
    <w:rsid w:val="00204DE4"/>
    <w:pPr>
      <w:numPr>
        <w:ilvl w:val="3"/>
        <w:numId w:val="4"/>
      </w:numPr>
      <w:spacing w:line="276" w:lineRule="auto"/>
      <w:jc w:val="left"/>
    </w:pPr>
    <w:rPr>
      <w:rFonts w:ascii="Arial" w:eastAsia="Times New Roman" w:hAnsi="Arial"/>
      <w:szCs w:val="22"/>
      <w:lang w:eastAsia="nb-NO"/>
    </w:rPr>
  </w:style>
  <w:style w:type="paragraph" w:styleId="List5">
    <w:name w:val="List 5"/>
    <w:basedOn w:val="Normal"/>
    <w:rsid w:val="00204DE4"/>
    <w:pPr>
      <w:numPr>
        <w:ilvl w:val="4"/>
        <w:numId w:val="4"/>
      </w:numPr>
      <w:spacing w:line="276" w:lineRule="auto"/>
      <w:jc w:val="left"/>
    </w:pPr>
    <w:rPr>
      <w:rFonts w:ascii="Arial" w:eastAsia="Times New Roman" w:hAnsi="Arial"/>
      <w:szCs w:val="22"/>
      <w:lang w:eastAsia="nb-NO"/>
    </w:rPr>
  </w:style>
  <w:style w:type="numbering" w:customStyle="1" w:styleId="StrekListeStil">
    <w:name w:val="StrekListeStil"/>
    <w:uiPriority w:val="99"/>
    <w:rsid w:val="00204DE4"/>
    <w:pPr>
      <w:numPr>
        <w:numId w:val="3"/>
      </w:numPr>
    </w:pPr>
  </w:style>
  <w:style w:type="paragraph" w:styleId="CommentText">
    <w:name w:val="annotation text"/>
    <w:basedOn w:val="Normal"/>
    <w:link w:val="CommentTextChar"/>
    <w:uiPriority w:val="99"/>
    <w:unhideWhenUsed/>
    <w:rsid w:val="00204DE4"/>
    <w:pPr>
      <w:spacing w:after="160"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204DE4"/>
    <w:rPr>
      <w:rFonts w:eastAsiaTheme="minorHAnsi"/>
      <w:sz w:val="20"/>
      <w:szCs w:val="20"/>
      <w:lang w:val="sk-SK"/>
    </w:rPr>
  </w:style>
  <w:style w:type="character" w:styleId="CommentReference">
    <w:name w:val="annotation reference"/>
    <w:basedOn w:val="DefaultParagraphFont"/>
    <w:uiPriority w:val="99"/>
    <w:semiHidden/>
    <w:unhideWhenUsed/>
    <w:rsid w:val="00204DE4"/>
    <w:rPr>
      <w:sz w:val="16"/>
      <w:szCs w:val="16"/>
    </w:rPr>
  </w:style>
  <w:style w:type="paragraph" w:styleId="CommentSubject">
    <w:name w:val="annotation subject"/>
    <w:basedOn w:val="CommentText"/>
    <w:next w:val="CommentText"/>
    <w:link w:val="CommentSubjectChar"/>
    <w:uiPriority w:val="99"/>
    <w:semiHidden/>
    <w:unhideWhenUsed/>
    <w:rsid w:val="00204DE4"/>
    <w:rPr>
      <w:b/>
      <w:bCs/>
    </w:rPr>
  </w:style>
  <w:style w:type="character" w:customStyle="1" w:styleId="CommentSubjectChar">
    <w:name w:val="Comment Subject Char"/>
    <w:basedOn w:val="CommentTextChar"/>
    <w:link w:val="CommentSubject"/>
    <w:uiPriority w:val="99"/>
    <w:semiHidden/>
    <w:rsid w:val="00204DE4"/>
    <w:rPr>
      <w:rFonts w:eastAsiaTheme="minorHAnsi"/>
      <w:b/>
      <w:bCs/>
      <w:sz w:val="20"/>
      <w:szCs w:val="20"/>
      <w:lang w:val="sk-SK"/>
    </w:rPr>
  </w:style>
  <w:style w:type="paragraph" w:styleId="TOCHeading">
    <w:name w:val="TOC Heading"/>
    <w:basedOn w:val="Heading1"/>
    <w:next w:val="Normal"/>
    <w:uiPriority w:val="39"/>
    <w:unhideWhenUsed/>
    <w:qFormat/>
    <w:rsid w:val="00204DE4"/>
    <w:pPr>
      <w:numPr>
        <w:numId w:val="0"/>
      </w:numPr>
      <w:spacing w:before="240" w:after="0" w:line="259" w:lineRule="auto"/>
      <w:jc w:val="left"/>
      <w:outlineLvl w:val="9"/>
    </w:pPr>
    <w:rPr>
      <w:rFonts w:asciiTheme="majorHAnsi" w:hAnsiTheme="majorHAnsi"/>
      <w:b w:val="0"/>
      <w:bCs w:val="0"/>
      <w:color w:val="383881" w:themeColor="accent1" w:themeShade="BF"/>
      <w:sz w:val="32"/>
      <w:lang w:eastAsia="nb-NO"/>
    </w:rPr>
  </w:style>
  <w:style w:type="paragraph" w:styleId="Revision">
    <w:name w:val="Revision"/>
    <w:hidden/>
    <w:uiPriority w:val="99"/>
    <w:semiHidden/>
    <w:rsid w:val="00204DE4"/>
    <w:rPr>
      <w:rFonts w:eastAsiaTheme="minorHAnsi"/>
      <w:sz w:val="22"/>
      <w:szCs w:val="22"/>
    </w:rPr>
  </w:style>
  <w:style w:type="character" w:styleId="FollowedHyperlink">
    <w:name w:val="FollowedHyperlink"/>
    <w:basedOn w:val="DefaultParagraphFont"/>
    <w:uiPriority w:val="99"/>
    <w:semiHidden/>
    <w:unhideWhenUsed/>
    <w:rsid w:val="00204DE4"/>
    <w:rPr>
      <w:color w:val="800080" w:themeColor="followedHyperlink"/>
      <w:u w:val="single"/>
    </w:rPr>
  </w:style>
  <w:style w:type="character" w:styleId="EndnoteReference">
    <w:name w:val="endnote reference"/>
    <w:basedOn w:val="DefaultParagraphFont"/>
    <w:uiPriority w:val="99"/>
    <w:semiHidden/>
    <w:unhideWhenUsed/>
    <w:rsid w:val="00204DE4"/>
    <w:rPr>
      <w:vertAlign w:val="superscript"/>
    </w:rPr>
  </w:style>
  <w:style w:type="character" w:customStyle="1" w:styleId="EndnoteTextChar">
    <w:name w:val="Endnote Text Char"/>
    <w:basedOn w:val="DefaultParagraphFont"/>
    <w:link w:val="EndnoteText"/>
    <w:uiPriority w:val="99"/>
    <w:semiHidden/>
    <w:rsid w:val="00204DE4"/>
    <w:rPr>
      <w:sz w:val="20"/>
      <w:szCs w:val="20"/>
    </w:rPr>
  </w:style>
  <w:style w:type="paragraph" w:styleId="EndnoteText">
    <w:name w:val="endnote text"/>
    <w:basedOn w:val="Normal"/>
    <w:link w:val="EndnoteTextChar"/>
    <w:uiPriority w:val="99"/>
    <w:semiHidden/>
    <w:unhideWhenUsed/>
    <w:rsid w:val="00204DE4"/>
    <w:pPr>
      <w:spacing w:line="240" w:lineRule="auto"/>
      <w:jc w:val="left"/>
    </w:pPr>
    <w:rPr>
      <w:rFonts w:asciiTheme="minorHAnsi" w:hAnsiTheme="minorHAnsi"/>
      <w:sz w:val="20"/>
      <w:szCs w:val="20"/>
    </w:rPr>
  </w:style>
  <w:style w:type="character" w:customStyle="1" w:styleId="EndnoteTextChar1">
    <w:name w:val="Endnote Text Char1"/>
    <w:basedOn w:val="DefaultParagraphFont"/>
    <w:uiPriority w:val="99"/>
    <w:semiHidden/>
    <w:rsid w:val="00204DE4"/>
    <w:rPr>
      <w:rFonts w:ascii="Calibri Light" w:hAnsi="Calibri Light"/>
    </w:rPr>
  </w:style>
  <w:style w:type="character" w:customStyle="1" w:styleId="SluttnotetekstTegn1">
    <w:name w:val="Sluttnotetekst Tegn1"/>
    <w:basedOn w:val="DefaultParagraphFont"/>
    <w:uiPriority w:val="99"/>
    <w:semiHidden/>
    <w:rsid w:val="00204DE4"/>
    <w:rPr>
      <w:sz w:val="20"/>
      <w:szCs w:val="20"/>
    </w:rPr>
  </w:style>
  <w:style w:type="character" w:customStyle="1" w:styleId="spellingerror">
    <w:name w:val="spellingerror"/>
    <w:basedOn w:val="DefaultParagraphFont"/>
    <w:rsid w:val="00204DE4"/>
  </w:style>
  <w:style w:type="character" w:customStyle="1" w:styleId="normaltextrun1">
    <w:name w:val="normaltextrun1"/>
    <w:basedOn w:val="DefaultParagraphFont"/>
    <w:rsid w:val="00204DE4"/>
  </w:style>
  <w:style w:type="paragraph" w:customStyle="1" w:styleId="paragraph">
    <w:name w:val="paragraph"/>
    <w:basedOn w:val="Normal"/>
    <w:rsid w:val="00204DE4"/>
    <w:pPr>
      <w:spacing w:line="240" w:lineRule="auto"/>
      <w:jc w:val="left"/>
    </w:pPr>
    <w:rPr>
      <w:rFonts w:eastAsia="Times New Roman" w:cs="Times New Roman"/>
      <w:lang w:eastAsia="nb-NO"/>
    </w:rPr>
  </w:style>
  <w:style w:type="character" w:customStyle="1" w:styleId="contextualspellingandgrammarerror">
    <w:name w:val="contextualspellingandgrammarerror"/>
    <w:basedOn w:val="DefaultParagraphFont"/>
    <w:rsid w:val="00204DE4"/>
  </w:style>
  <w:style w:type="character" w:customStyle="1" w:styleId="eop">
    <w:name w:val="eop"/>
    <w:basedOn w:val="DefaultParagraphFont"/>
    <w:rsid w:val="00204DE4"/>
  </w:style>
  <w:style w:type="paragraph" w:customStyle="1" w:styleId="EndNoteBibliographyTitle">
    <w:name w:val="EndNote Bibliography Title"/>
    <w:basedOn w:val="Normal"/>
    <w:link w:val="EndNoteBibliographyTitleChar"/>
    <w:rsid w:val="00D0145C"/>
    <w:pPr>
      <w:spacing w:line="259" w:lineRule="auto"/>
      <w:jc w:val="center"/>
    </w:pPr>
    <w:rPr>
      <w:rFonts w:eastAsiaTheme="minorHAnsi" w:cs="Calibri Light"/>
      <w:noProof/>
      <w:szCs w:val="22"/>
    </w:rPr>
  </w:style>
  <w:style w:type="character" w:customStyle="1" w:styleId="EndNoteBibliographyTitleChar">
    <w:name w:val="EndNote Bibliography Title Char"/>
    <w:basedOn w:val="DefaultParagraphFont"/>
    <w:link w:val="EndNoteBibliographyTitle"/>
    <w:rsid w:val="00D0145C"/>
    <w:rPr>
      <w:rFonts w:ascii="Calibri Light" w:eastAsiaTheme="minorHAnsi" w:hAnsi="Calibri Light" w:cs="Calibri Light"/>
      <w:noProof/>
      <w:szCs w:val="22"/>
    </w:rPr>
  </w:style>
  <w:style w:type="paragraph" w:customStyle="1" w:styleId="EndNoteBibliography">
    <w:name w:val="EndNote Bibliography"/>
    <w:basedOn w:val="Normal"/>
    <w:link w:val="EndNoteBibliographyChar"/>
    <w:rsid w:val="00D0145C"/>
    <w:pPr>
      <w:spacing w:after="160" w:line="240" w:lineRule="auto"/>
      <w:jc w:val="left"/>
    </w:pPr>
    <w:rPr>
      <w:rFonts w:eastAsiaTheme="minorHAnsi" w:cs="Calibri Light"/>
      <w:noProof/>
      <w:szCs w:val="22"/>
    </w:rPr>
  </w:style>
  <w:style w:type="character" w:customStyle="1" w:styleId="EndNoteBibliographyChar">
    <w:name w:val="EndNote Bibliography Char"/>
    <w:basedOn w:val="DefaultParagraphFont"/>
    <w:link w:val="EndNoteBibliography"/>
    <w:rsid w:val="00D0145C"/>
    <w:rPr>
      <w:rFonts w:ascii="Calibri Light" w:eastAsiaTheme="minorHAnsi" w:hAnsi="Calibri Light" w:cs="Calibri Light"/>
      <w:noProof/>
      <w:szCs w:val="22"/>
    </w:rPr>
  </w:style>
  <w:style w:type="character" w:customStyle="1" w:styleId="UnresolvedMention">
    <w:name w:val="Unresolved Mention"/>
    <w:basedOn w:val="DefaultParagraphFont"/>
    <w:uiPriority w:val="99"/>
    <w:rsid w:val="00D0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378042">
      <w:bodyDiv w:val="1"/>
      <w:marLeft w:val="0"/>
      <w:marRight w:val="0"/>
      <w:marTop w:val="0"/>
      <w:marBottom w:val="0"/>
      <w:divBdr>
        <w:top w:val="none" w:sz="0" w:space="0" w:color="auto"/>
        <w:left w:val="none" w:sz="0" w:space="0" w:color="auto"/>
        <w:bottom w:val="none" w:sz="0" w:space="0" w:color="auto"/>
        <w:right w:val="none" w:sz="0" w:space="0" w:color="auto"/>
      </w:divBdr>
    </w:div>
    <w:div w:id="922027216">
      <w:bodyDiv w:val="1"/>
      <w:marLeft w:val="0"/>
      <w:marRight w:val="0"/>
      <w:marTop w:val="0"/>
      <w:marBottom w:val="0"/>
      <w:divBdr>
        <w:top w:val="none" w:sz="0" w:space="0" w:color="auto"/>
        <w:left w:val="none" w:sz="0" w:space="0" w:color="auto"/>
        <w:bottom w:val="none" w:sz="0" w:space="0" w:color="auto"/>
        <w:right w:val="none" w:sz="0" w:space="0" w:color="auto"/>
      </w:divBdr>
    </w:div>
    <w:div w:id="1442191462">
      <w:bodyDiv w:val="1"/>
      <w:marLeft w:val="0"/>
      <w:marRight w:val="0"/>
      <w:marTop w:val="0"/>
      <w:marBottom w:val="0"/>
      <w:divBdr>
        <w:top w:val="none" w:sz="0" w:space="0" w:color="auto"/>
        <w:left w:val="none" w:sz="0" w:space="0" w:color="auto"/>
        <w:bottom w:val="none" w:sz="0" w:space="0" w:color="auto"/>
        <w:right w:val="none" w:sz="0" w:space="0" w:color="auto"/>
      </w:divBdr>
    </w:div>
    <w:div w:id="1492024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SN Theme 3">
  <a:themeElements>
    <a:clrScheme name="Custom 39">
      <a:dk1>
        <a:srgbClr val="252525"/>
      </a:dk1>
      <a:lt1>
        <a:sysClr val="window" lastClr="FFFFFF"/>
      </a:lt1>
      <a:dk2>
        <a:srgbClr val="7E9492"/>
      </a:dk2>
      <a:lt2>
        <a:srgbClr val="D6E0E3"/>
      </a:lt2>
      <a:accent1>
        <a:srgbClr val="4B4CAD"/>
      </a:accent1>
      <a:accent2>
        <a:srgbClr val="3BAFA2"/>
      </a:accent2>
      <a:accent3>
        <a:srgbClr val="00978A"/>
      </a:accent3>
      <a:accent4>
        <a:srgbClr val="FFD240"/>
      </a:accent4>
      <a:accent5>
        <a:srgbClr val="D64349"/>
      </a:accent5>
      <a:accent6>
        <a:srgbClr val="27B2D0"/>
      </a:accent6>
      <a:hlink>
        <a:srgbClr val="005B9A"/>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0455B-8365-1C43-918C-3FA572A5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1961</Words>
  <Characters>11180</Characters>
  <Application>Microsoft Macintosh Word</Application>
  <DocSecurity>0</DocSecurity>
  <Lines>93</Lines>
  <Paragraphs>26</Paragraphs>
  <ScaleCrop>false</ScaleCrop>
  <HeadingPairs>
    <vt:vector size="6" baseType="variant">
      <vt:variant>
        <vt:lpstr>Názov</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Markus Design AS</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Myhre</dc:creator>
  <cp:keywords/>
  <dc:description/>
  <cp:lastModifiedBy>marta.kahancova@celsi.sk</cp:lastModifiedBy>
  <cp:revision>9</cp:revision>
  <cp:lastPrinted>2020-09-08T19:07:00Z</cp:lastPrinted>
  <dcterms:created xsi:type="dcterms:W3CDTF">2020-10-21T09:10:00Z</dcterms:created>
  <dcterms:modified xsi:type="dcterms:W3CDTF">2021-01-18T00:16:00Z</dcterms:modified>
</cp:coreProperties>
</file>